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黑体" w:eastAsia="方正小标宋简体" w:cs="方正小标宋简体"/>
          <w:color w:val="000000"/>
          <w:spacing w:val="20"/>
          <w:sz w:val="44"/>
          <w:szCs w:val="44"/>
        </w:rPr>
      </w:pPr>
      <w:bookmarkStart w:id="0" w:name="_GoBack"/>
      <w:r>
        <w:rPr>
          <w:rFonts w:hint="eastAsia" w:ascii="方正小标宋简体" w:hAnsi="黑体" w:eastAsia="方正小标宋简体" w:cs="方正小标宋简体"/>
          <w:color w:val="000000"/>
          <w:spacing w:val="20"/>
          <w:sz w:val="44"/>
          <w:szCs w:val="44"/>
        </w:rPr>
        <w:t>义乌市城乡风貌整治提升工作专班</w:t>
      </w:r>
    </w:p>
    <w:bookmarkEnd w:id="0"/>
    <w:p>
      <w:pPr>
        <w:spacing w:line="590" w:lineRule="exact"/>
        <w:rPr>
          <w:rFonts w:hint="eastAsia" w:eastAsia="仿宋_GB2312"/>
          <w:spacing w:val="-6"/>
          <w:sz w:val="28"/>
        </w:rPr>
      </w:pPr>
    </w:p>
    <w:p>
      <w:pPr>
        <w:spacing w:line="590" w:lineRule="exact"/>
        <w:ind w:firstLine="616" w:firstLineChars="200"/>
        <w:rPr>
          <w:rFonts w:ascii="黑体" w:hAnsi="黑体" w:eastAsia="黑体" w:cs="黑体"/>
          <w:color w:val="000000"/>
          <w:spacing w:val="-6"/>
          <w:sz w:val="32"/>
          <w:szCs w:val="32"/>
        </w:rPr>
      </w:pPr>
      <w:r>
        <w:rPr>
          <w:rFonts w:hint="eastAsia" w:ascii="黑体" w:hAnsi="黑体" w:eastAsia="黑体" w:cs="黑体"/>
          <w:color w:val="000000"/>
          <w:spacing w:val="-6"/>
          <w:sz w:val="32"/>
          <w:szCs w:val="32"/>
        </w:rPr>
        <w:t>一、专班组成</w:t>
      </w:r>
    </w:p>
    <w:p>
      <w:pPr>
        <w:spacing w:line="590" w:lineRule="exact"/>
        <w:ind w:firstLine="616" w:firstLineChars="200"/>
        <w:rPr>
          <w:rFonts w:eastAsia="仿宋_GB2312" w:cs="仿宋_GB2312"/>
          <w:color w:val="000000"/>
          <w:spacing w:val="-6"/>
          <w:sz w:val="32"/>
          <w:szCs w:val="32"/>
        </w:rPr>
      </w:pPr>
      <w:r>
        <w:rPr>
          <w:rFonts w:hint="eastAsia" w:ascii="黑体" w:eastAsia="黑体" w:cs="仿宋_GB2312"/>
          <w:color w:val="000000"/>
          <w:spacing w:val="-6"/>
          <w:sz w:val="32"/>
          <w:szCs w:val="32"/>
        </w:rPr>
        <w:t>总召集人：</w:t>
      </w:r>
      <w:r>
        <w:rPr>
          <w:rFonts w:hint="eastAsia" w:eastAsia="仿宋_GB2312" w:cs="仿宋_GB2312"/>
          <w:color w:val="000000"/>
          <w:spacing w:val="-6"/>
          <w:sz w:val="32"/>
          <w:szCs w:val="32"/>
        </w:rPr>
        <w:t>罗祖盘、杨</w:t>
      </w:r>
      <w:r>
        <w:rPr>
          <w:rFonts w:eastAsia="仿宋_GB2312" w:cs="仿宋_GB2312"/>
          <w:color w:val="000000"/>
          <w:spacing w:val="-6"/>
          <w:sz w:val="32"/>
          <w:szCs w:val="32"/>
        </w:rPr>
        <w:t xml:space="preserve">  </w:t>
      </w:r>
      <w:r>
        <w:rPr>
          <w:rFonts w:hint="eastAsia" w:eastAsia="仿宋_GB2312" w:cs="仿宋_GB2312"/>
          <w:color w:val="000000"/>
          <w:spacing w:val="-6"/>
          <w:sz w:val="32"/>
          <w:szCs w:val="32"/>
        </w:rPr>
        <w:t>献</w:t>
      </w:r>
      <w:r>
        <w:rPr>
          <w:rFonts w:eastAsia="仿宋_GB2312" w:cs="仿宋_GB2312"/>
          <w:color w:val="000000"/>
          <w:spacing w:val="-6"/>
          <w:sz w:val="32"/>
          <w:szCs w:val="32"/>
        </w:rPr>
        <w:t xml:space="preserve">  </w:t>
      </w:r>
    </w:p>
    <w:p>
      <w:pPr>
        <w:spacing w:line="590" w:lineRule="exact"/>
        <w:ind w:firstLine="616" w:firstLineChars="200"/>
        <w:rPr>
          <w:rFonts w:eastAsia="仿宋_GB2312" w:cs="仿宋_GB2312"/>
          <w:color w:val="000000"/>
          <w:spacing w:val="-6"/>
          <w:sz w:val="32"/>
          <w:szCs w:val="32"/>
        </w:rPr>
      </w:pPr>
      <w:r>
        <w:rPr>
          <w:rFonts w:hint="eastAsia" w:ascii="黑体" w:eastAsia="黑体" w:cs="仿宋_GB2312"/>
          <w:color w:val="000000"/>
          <w:spacing w:val="-6"/>
          <w:sz w:val="32"/>
          <w:szCs w:val="32"/>
        </w:rPr>
        <w:t>副召集人：</w:t>
      </w:r>
      <w:r>
        <w:rPr>
          <w:rFonts w:hint="eastAsia" w:eastAsia="仿宋_GB2312" w:cs="仿宋_GB2312"/>
          <w:color w:val="000000"/>
          <w:spacing w:val="-6"/>
          <w:sz w:val="32"/>
          <w:szCs w:val="32"/>
        </w:rPr>
        <w:t>方林杭（市府办）</w:t>
      </w:r>
    </w:p>
    <w:p>
      <w:pPr>
        <w:spacing w:line="590" w:lineRule="exact"/>
        <w:ind w:firstLine="2156" w:firstLineChars="700"/>
        <w:rPr>
          <w:rFonts w:eastAsia="仿宋_GB2312" w:cs="仿宋_GB2312"/>
          <w:color w:val="000000"/>
          <w:spacing w:val="-6"/>
          <w:sz w:val="32"/>
          <w:szCs w:val="32"/>
        </w:rPr>
      </w:pPr>
      <w:r>
        <w:rPr>
          <w:rFonts w:hint="eastAsia" w:eastAsia="仿宋_GB2312" w:cs="仿宋_GB2312"/>
          <w:color w:val="000000"/>
          <w:spacing w:val="-6"/>
          <w:sz w:val="32"/>
          <w:szCs w:val="32"/>
        </w:rPr>
        <w:t>何海生（市府办）</w:t>
      </w:r>
    </w:p>
    <w:p>
      <w:pPr>
        <w:spacing w:line="590" w:lineRule="exact"/>
        <w:ind w:firstLine="2156" w:firstLineChars="700"/>
        <w:rPr>
          <w:rFonts w:eastAsia="仿宋_GB2312" w:cs="仿宋_GB2312"/>
          <w:color w:val="000000"/>
          <w:spacing w:val="-6"/>
          <w:sz w:val="32"/>
          <w:szCs w:val="32"/>
        </w:rPr>
      </w:pPr>
      <w:r>
        <w:rPr>
          <w:rFonts w:hint="eastAsia" w:eastAsia="仿宋_GB2312" w:cs="仿宋_GB2312"/>
          <w:color w:val="000000"/>
          <w:spacing w:val="-6"/>
          <w:sz w:val="32"/>
          <w:szCs w:val="32"/>
        </w:rPr>
        <w:t>毛应斌（建设局）</w:t>
      </w:r>
    </w:p>
    <w:p>
      <w:pPr>
        <w:spacing w:line="590" w:lineRule="exact"/>
        <w:ind w:firstLine="2156" w:firstLineChars="700"/>
        <w:rPr>
          <w:rFonts w:eastAsia="仿宋_GB2312" w:cs="仿宋_GB2312"/>
          <w:color w:val="000000"/>
          <w:spacing w:val="-6"/>
          <w:sz w:val="32"/>
          <w:szCs w:val="32"/>
        </w:rPr>
      </w:pPr>
      <w:r>
        <w:rPr>
          <w:rFonts w:hint="eastAsia" w:eastAsia="仿宋_GB2312" w:cs="仿宋_GB2312"/>
          <w:color w:val="000000"/>
          <w:spacing w:val="-6"/>
          <w:sz w:val="32"/>
          <w:szCs w:val="32"/>
        </w:rPr>
        <w:t>周建平（农业农村局）</w:t>
      </w:r>
    </w:p>
    <w:p>
      <w:pPr>
        <w:widowControl/>
        <w:kinsoku w:val="0"/>
        <w:autoSpaceDE w:val="0"/>
        <w:autoSpaceDN w:val="0"/>
        <w:adjustRightInd w:val="0"/>
        <w:snapToGrid w:val="0"/>
        <w:spacing w:line="590" w:lineRule="exact"/>
        <w:ind w:firstLine="616" w:firstLineChars="200"/>
        <w:textAlignment w:val="baseline"/>
        <w:rPr>
          <w:rFonts w:eastAsia="仿宋_GB2312" w:cs="仿宋_GB2312"/>
          <w:color w:val="000000"/>
          <w:spacing w:val="-6"/>
          <w:sz w:val="32"/>
          <w:szCs w:val="32"/>
        </w:rPr>
      </w:pPr>
      <w:r>
        <w:rPr>
          <w:rFonts w:hint="eastAsia" w:ascii="黑体" w:eastAsia="黑体" w:cs="仿宋_GB2312"/>
          <w:color w:val="000000"/>
          <w:spacing w:val="-6"/>
          <w:sz w:val="32"/>
          <w:szCs w:val="32"/>
        </w:rPr>
        <w:t>成    员：</w:t>
      </w:r>
      <w:r>
        <w:rPr>
          <w:rFonts w:hint="eastAsia" w:eastAsia="仿宋_GB2312" w:cs="仿宋_GB2312"/>
          <w:spacing w:val="-6"/>
          <w:sz w:val="32"/>
          <w:szCs w:val="32"/>
        </w:rPr>
        <w:t>吴燕燕（宣传部）</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季国伟（发改局）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丁汉君（经信局）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黄</w:t>
      </w:r>
      <w:r>
        <w:rPr>
          <w:rFonts w:eastAsia="仿宋_GB2312" w:cs="仿宋_GB2312"/>
          <w:color w:val="000000"/>
          <w:spacing w:val="-6"/>
          <w:sz w:val="32"/>
          <w:szCs w:val="32"/>
        </w:rPr>
        <w:t xml:space="preserve">  </w:t>
      </w:r>
      <w:r>
        <w:rPr>
          <w:rFonts w:hint="eastAsia" w:eastAsia="仿宋_GB2312" w:cs="仿宋_GB2312"/>
          <w:color w:val="000000"/>
          <w:spacing w:val="-6"/>
          <w:sz w:val="32"/>
          <w:szCs w:val="32"/>
        </w:rPr>
        <w:t>坤（教育局）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吴璀赛（公安局）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谢家梁（民政局）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金昭非（人力社保局）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傅晓平（财政局）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吴新宇（自规局）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朱志红（生态环境分局）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刘伟明（建设局）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张天根（交通局）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邵志平（水务局）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陈文青（农业农村局）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黄</w:t>
      </w:r>
      <w:r>
        <w:rPr>
          <w:rFonts w:eastAsia="仿宋_GB2312" w:cs="仿宋_GB2312"/>
          <w:color w:val="000000"/>
          <w:spacing w:val="-6"/>
          <w:sz w:val="32"/>
          <w:szCs w:val="32"/>
        </w:rPr>
        <w:t xml:space="preserve">  </w:t>
      </w:r>
      <w:r>
        <w:rPr>
          <w:rFonts w:hint="eastAsia" w:eastAsia="仿宋_GB2312" w:cs="仿宋_GB2312"/>
          <w:color w:val="000000"/>
          <w:spacing w:val="-6"/>
          <w:sz w:val="32"/>
          <w:szCs w:val="32"/>
        </w:rPr>
        <w:t>建（商务局）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喻友贞（文广旅体局）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方</w:t>
      </w:r>
      <w:r>
        <w:rPr>
          <w:rFonts w:eastAsia="仿宋_GB2312" w:cs="仿宋_GB2312"/>
          <w:color w:val="000000"/>
          <w:spacing w:val="-6"/>
          <w:sz w:val="32"/>
          <w:szCs w:val="32"/>
        </w:rPr>
        <w:t xml:space="preserve">  </w:t>
      </w:r>
      <w:r>
        <w:rPr>
          <w:rFonts w:hint="eastAsia" w:eastAsia="仿宋_GB2312" w:cs="仿宋_GB2312"/>
          <w:color w:val="000000"/>
          <w:spacing w:val="-6"/>
          <w:sz w:val="32"/>
          <w:szCs w:val="32"/>
        </w:rPr>
        <w:t>彬（卫健局）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陈旭峰（行政执法局）</w:t>
      </w:r>
    </w:p>
    <w:p>
      <w:pPr>
        <w:widowControl/>
        <w:kinsoku w:val="0"/>
        <w:autoSpaceDE w:val="0"/>
        <w:autoSpaceDN w:val="0"/>
        <w:adjustRightInd w:val="0"/>
        <w:snapToGrid w:val="0"/>
        <w:spacing w:line="590" w:lineRule="exact"/>
        <w:ind w:left="126" w:leftChars="60" w:firstLine="2002" w:firstLineChars="650"/>
        <w:textAlignment w:val="baseline"/>
        <w:rPr>
          <w:rFonts w:eastAsia="仿宋_GB2312" w:cs="仿宋_GB2312"/>
          <w:color w:val="000000"/>
          <w:spacing w:val="-6"/>
          <w:sz w:val="32"/>
          <w:szCs w:val="32"/>
        </w:rPr>
      </w:pPr>
      <w:r>
        <w:rPr>
          <w:rFonts w:hint="eastAsia" w:eastAsia="仿宋_GB2312" w:cs="仿宋_GB2312"/>
          <w:color w:val="000000"/>
          <w:spacing w:val="-6"/>
          <w:sz w:val="32"/>
          <w:szCs w:val="32"/>
        </w:rPr>
        <w:t>叶凌青（数管中心）</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专班下设办公室，负责专班日常工作，与美丽城镇办合署办公。毛应斌、周建平同志兼任办公室主任，刘伟明、陈文青同志担任常务副主任，季国伟、吴新宇、喻友贞、陈旭峰担任副主任。办公室内设综合组、城乡风貌技术组、未来社区技术组、未来乡村技术组、美丽城镇建设组、宣传组、督导组等</w:t>
      </w:r>
      <w:r>
        <w:rPr>
          <w:rFonts w:eastAsia="仿宋_GB2312"/>
          <w:spacing w:val="-6"/>
          <w:sz w:val="32"/>
          <w:szCs w:val="32"/>
        </w:rPr>
        <w:t>7</w:t>
      </w:r>
      <w:r>
        <w:rPr>
          <w:rFonts w:hint="eastAsia" w:eastAsia="仿宋_GB2312" w:cs="仿宋_GB2312"/>
          <w:color w:val="000000"/>
          <w:spacing w:val="-6"/>
          <w:sz w:val="32"/>
          <w:szCs w:val="32"/>
        </w:rPr>
        <w:t>个工作组，工作人员从相关单位抽调。</w:t>
      </w:r>
    </w:p>
    <w:p>
      <w:pPr>
        <w:spacing w:line="590" w:lineRule="exact"/>
        <w:ind w:firstLine="616" w:firstLineChars="200"/>
        <w:rPr>
          <w:rFonts w:ascii="黑体" w:hAnsi="黑体" w:eastAsia="黑体" w:cs="黑体"/>
          <w:color w:val="000000"/>
          <w:spacing w:val="-6"/>
          <w:sz w:val="32"/>
          <w:szCs w:val="32"/>
        </w:rPr>
      </w:pPr>
      <w:r>
        <w:rPr>
          <w:rFonts w:hint="eastAsia" w:ascii="黑体" w:hAnsi="黑体" w:eastAsia="黑体" w:cs="黑体"/>
          <w:color w:val="000000"/>
          <w:spacing w:val="-6"/>
          <w:sz w:val="32"/>
          <w:szCs w:val="32"/>
        </w:rPr>
        <w:t>二、职责分工</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专班办公室：执行城乡风貌整治提升工作专班的决策部署，承担专班的日常工作；负责实施全市城乡风貌整治提升和未来社区、未来乡村建设工作的组织、计划、指导、协调、实施、宣传、学习、检查和考核工作；负责城乡风貌提升重要区域风貌评估工作；负责推进城乡风貌整治提升行动方案编制和城乡风貌技术指引体系建设；负责研究并提出深入推进城乡风貌整治提升和未来社区、未来乡村建设工作的有关政策意见、工作建议。</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宣传部：负责做好城乡风貌整治提升和未来社区、未来乡村建设的宣传工作。</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发改局：负责做好城乡风貌整治提升涉及的相关项目立项审批工作；负责做好未来社区、未来乡村建设与共同富裕示范区建设的协调衔接；负责数字社会在未来社区、未来乡村的落地。</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经信局：负责做好城乡风貌整治提升行动涉及制造业小微企业园整治提升、中小微企业转型升级工作。</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教育局：负责推动未来社区、未来乡村教育场景实施落地。</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公安局：负责研究相关道路交通组织措施，落实未来社区、未</w:t>
      </w:r>
      <w:r>
        <w:rPr>
          <w:rFonts w:hint="eastAsia" w:eastAsia="仿宋_GB2312" w:cs="仿宋_GB2312"/>
          <w:color w:val="000000"/>
          <w:spacing w:val="-10"/>
          <w:sz w:val="32"/>
          <w:szCs w:val="32"/>
        </w:rPr>
        <w:t>来乡村有关场景落地；做好数字身份识别技术推广、人口信息安全保障等工作，指导未来社区、未来乡村做好智慧安防等安全防护工作。</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民政局：负责研究制定未来社区、未来乡村养老服务供给政策，</w:t>
      </w:r>
      <w:r>
        <w:rPr>
          <w:rFonts w:eastAsia="仿宋_GB2312" w:cs="仿宋_GB2312"/>
          <w:color w:val="000000"/>
          <w:spacing w:val="-6"/>
          <w:sz w:val="32"/>
          <w:szCs w:val="32"/>
        </w:rPr>
        <w:t xml:space="preserve"> </w:t>
      </w:r>
      <w:r>
        <w:rPr>
          <w:rFonts w:hint="eastAsia" w:eastAsia="仿宋_GB2312" w:cs="仿宋_GB2312"/>
          <w:color w:val="000000"/>
          <w:spacing w:val="-6"/>
          <w:sz w:val="32"/>
          <w:szCs w:val="32"/>
        </w:rPr>
        <w:t>指导未来社区、未来乡村治理、养老服务场景建设。</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财政局：统筹市级有关财政政策支持城乡风貌整治提升和未来社区、未来乡村建设，负责落实有关财政激励政策，会同主管部门向上争取中央、省级补助资金支持。</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人力社保局：配合制定未来社区人才安居相关政策，推动有关场景落地。</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自规局：负责国土空间设计（城市设计）的技术把关和规划管理工作；参与推进城乡风貌整治提升行动方案编制和城乡风貌技术指引体系建设，与国土空间规划和国土空间设计（城市设计）做好有效衔接；负责在国土空间规划中落实未来社区建设要求；负责落实将城镇社区建设和乡村建设相应专项规划要求落实到土地出让中，并做好试点和创建项目土地指标增存挂钩奖励申请；负责做好城乡风貌整治提升行动涉及国土绿化工作；负责做好山体生态修复工作；负责根据专班工作建议制定相关政策、落实城乡风貌规划管控工作。</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生态环境分局：负责做好城乡风貌整治提升和未来社区、未来乡村建设涉及环境保护工作；参与未来社区环境基础设施建设和场景落地。</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建设局：负责城市有机更新风貌管控工作；负责传统村落的保护和建设工作；负责指导农房设计、农村住房建设和安全及危房改造，推广实施驻镇设计师制度；负责城乡风貌提升（未来社区建设）示范区绿道联通工作；负责探索建立面向工匠的小额村镇建设工程招投标机制；根据专班工作建议开展城乡风貌提升（未来社区）示范区老旧小区改造、基础设施提升等工作。</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交通局：负责做好城乡风貌整治提升行动和未来社区、未来乡村建设涉及交通项目建设及交通沿线环境整治工作；负责研究提出未来社区、未来乡村公共交通引导和保障等配套政策，指导推动未来社区交通场景实施落地。</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水务局：负责做好城乡风貌整治提升行动涉及水利项目及美丽河湖建设工作。</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农业农村局：负责做好城乡风貌整治提升行动涉及农村人居环境整治工作；参与推进乡村风貌技术指引体系建设等工作；负责将未来社区理念落实到乡村建设工作中，推进有关标准体系建设；负责根据专班工作建议开展未来乡村、美丽田园等的建设。</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商务局：负责抓好未来社区商业业态布局和标准规划引领，协同推动未来社区商业服务场景落地。</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文广旅体局：负责做好城乡风貌整治提升行动和未来社区、未来乡村建设中的文化挖掘和保护，加强非物质文化遗产保护和传承；牵头负责组织推进历史文化传承和公共文化塑造；负责研究提出未来社区、未来乡村文化建设、文旅资源支持、传统文化传承、群众文化丰富等相关政策，研究制定城市公共文化空间建设要求；负责科学规划配置社区运动场所、智能运动设施，支持未来社区、未来乡村运动健身场景落地；配合推进历史文化街区、名镇、名村和传统村落保护工作；负责做好城乡风貌整治提升行动涉及文物保护利用工作。</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卫健局：负责落实分级诊疗及优质资源共享理念，研究制定未来社区、未来乡村托育服务相关政策，指导未来社区、未来乡村健康场景实施落地。</w:t>
      </w:r>
    </w:p>
    <w:p>
      <w:pPr>
        <w:spacing w:line="590" w:lineRule="exact"/>
        <w:ind w:firstLine="616" w:firstLineChars="200"/>
        <w:rPr>
          <w:rFonts w:eastAsia="仿宋_GB2312" w:cs="仿宋_GB2312"/>
          <w:color w:val="000000"/>
          <w:spacing w:val="-6"/>
          <w:sz w:val="32"/>
          <w:szCs w:val="32"/>
        </w:rPr>
      </w:pPr>
      <w:r>
        <w:rPr>
          <w:rFonts w:hint="eastAsia" w:eastAsia="仿宋_GB2312" w:cs="仿宋_GB2312"/>
          <w:color w:val="000000"/>
          <w:spacing w:val="-6"/>
          <w:sz w:val="32"/>
          <w:szCs w:val="32"/>
        </w:rPr>
        <w:t>行政执法局：负责做好职责范围内违法建筑的查处和整治；负责统筹协调、指导监督全市城市管理工作；负责指导监督全市市容环境卫生管理工作；负责组织实施“两路两侧”环境整治。</w:t>
      </w:r>
    </w:p>
    <w:p>
      <w:pPr>
        <w:spacing w:line="590" w:lineRule="exact"/>
        <w:ind w:firstLine="616" w:firstLineChars="200"/>
        <w:rPr>
          <w:rFonts w:hint="eastAsia" w:ascii="仿宋_GB2312" w:hAnsi="仿宋_GB2312" w:eastAsia="仿宋_GB2312" w:cs="仿宋_GB2312"/>
          <w:spacing w:val="-6"/>
          <w:sz w:val="32"/>
          <w:szCs w:val="32"/>
        </w:rPr>
      </w:pPr>
      <w:r>
        <w:rPr>
          <w:rFonts w:hint="eastAsia" w:eastAsia="仿宋_GB2312" w:cs="仿宋_GB2312"/>
          <w:color w:val="000000"/>
          <w:spacing w:val="-6"/>
          <w:sz w:val="32"/>
          <w:szCs w:val="32"/>
        </w:rPr>
        <w:t>数管中心：负责指导协调城乡风貌样板区、未来社区、未来乡村大数据资源管理工作，促进数据共享。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73B314F0"/>
    <w:rsid w:val="73B31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2022-06-01T08:47:00Z</dcterms:created>
  <dc:creator>龚秀娟</dc:creator>
  <cp:lastModifiedBy>龚秀娟</cp:lastModifiedBy>
  <dcterms:modified xsi:type="dcterms:W3CDTF">2022-06-01T08:47:44Z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C80A09C3187041C4B2921162696B0423</vt:lpwstr>
  </property>
</Properties>
</file>