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bookmarkStart w:id="0" w:name="_Toc60569675"/>
      <w:bookmarkStart w:id="1" w:name="_Toc59177453"/>
    </w:p>
    <w:p>
      <w:pPr>
        <w:jc w:val="center"/>
        <w:rPr>
          <w:rFonts w:eastAsia="方正小标宋简体"/>
          <w:sz w:val="44"/>
          <w:szCs w:val="44"/>
        </w:rPr>
      </w:pPr>
    </w:p>
    <w:p>
      <w:pPr>
        <w:jc w:val="center"/>
        <w:rPr>
          <w:rFonts w:eastAsia="方正小标宋简体"/>
          <w:sz w:val="44"/>
          <w:szCs w:val="44"/>
        </w:rPr>
      </w:pPr>
    </w:p>
    <w:p>
      <w:pPr>
        <w:jc w:val="center"/>
        <w:rPr>
          <w:rFonts w:ascii="华文中宋" w:hAnsi="华文中宋" w:eastAsia="华文中宋"/>
          <w:b/>
          <w:bCs/>
          <w:sz w:val="48"/>
          <w:szCs w:val="48"/>
        </w:rPr>
      </w:pPr>
      <w:r>
        <w:rPr>
          <w:rFonts w:hint="eastAsia" w:ascii="华文中宋" w:hAnsi="华文中宋" w:eastAsia="华文中宋"/>
          <w:b/>
          <w:bCs/>
          <w:sz w:val="48"/>
          <w:szCs w:val="48"/>
        </w:rPr>
        <w:t>义乌市市场发展“十四五”规划</w:t>
      </w:r>
    </w:p>
    <w:p>
      <w:pPr>
        <w:jc w:val="center"/>
        <w:rPr>
          <w:rFonts w:ascii="楷体_GB2312" w:eastAsia="楷体_GB2312"/>
          <w:sz w:val="32"/>
          <w:szCs w:val="32"/>
        </w:rPr>
      </w:pPr>
      <w:r>
        <w:rPr>
          <w:rFonts w:hint="eastAsia" w:ascii="楷体_GB2312" w:eastAsia="楷体_GB2312"/>
          <w:sz w:val="32"/>
          <w:szCs w:val="32"/>
        </w:rPr>
        <w:t>（征求意见稿）</w:t>
      </w:r>
    </w:p>
    <w:p>
      <w:pPr>
        <w:jc w:val="center"/>
        <w:rPr>
          <w:rFonts w:eastAsia="方正小标宋简体"/>
          <w:sz w:val="36"/>
          <w:szCs w:val="36"/>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jc w:val="center"/>
        <w:rPr>
          <w:rFonts w:ascii="华文中宋" w:hAnsi="华文中宋" w:eastAsia="华文中宋"/>
          <w:sz w:val="44"/>
          <w:szCs w:val="44"/>
        </w:rPr>
      </w:pPr>
      <w:r>
        <w:rPr>
          <w:rFonts w:hint="eastAsia" w:ascii="华文中宋" w:hAnsi="华文中宋" w:eastAsia="华文中宋"/>
          <w:sz w:val="44"/>
          <w:szCs w:val="44"/>
        </w:rPr>
        <w:t>2</w:t>
      </w:r>
      <w:r>
        <w:rPr>
          <w:rFonts w:ascii="华文中宋" w:hAnsi="华文中宋" w:eastAsia="华文中宋"/>
          <w:sz w:val="44"/>
          <w:szCs w:val="44"/>
        </w:rPr>
        <w:t>021</w:t>
      </w:r>
      <w:r>
        <w:rPr>
          <w:rFonts w:hint="eastAsia" w:ascii="华文中宋" w:hAnsi="华文中宋" w:eastAsia="华文中宋"/>
          <w:sz w:val="44"/>
          <w:szCs w:val="44"/>
        </w:rPr>
        <w:t>年1月</w:t>
      </w:r>
    </w:p>
    <w:p>
      <w:pPr>
        <w:widowControl/>
        <w:jc w:val="left"/>
        <w:rPr>
          <w:rFonts w:ascii="华文中宋" w:hAnsi="华文中宋" w:eastAsia="华文中宋"/>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pPr>
      <w:r>
        <w:rPr>
          <w:rFonts w:ascii="华文中宋" w:hAnsi="华文中宋" w:eastAsia="华文中宋"/>
          <w:sz w:val="44"/>
          <w:szCs w:val="44"/>
        </w:rPr>
        <w:br w:type="page"/>
      </w:r>
    </w:p>
    <w:sdt>
      <w:sdtPr>
        <w:rPr>
          <w:rFonts w:ascii="华文中宋" w:hAnsi="华文中宋" w:eastAsia="华文中宋" w:cstheme="minorBidi"/>
          <w:color w:val="auto"/>
          <w:kern w:val="2"/>
          <w:sz w:val="52"/>
          <w:szCs w:val="36"/>
          <w:lang w:val="zh-CN"/>
        </w:rPr>
        <w:id w:val="1090122437"/>
        <w:docPartObj>
          <w:docPartGallery w:val="Table of Contents"/>
          <w:docPartUnique/>
        </w:docPartObj>
      </w:sdtPr>
      <w:sdtEndPr>
        <w:rPr>
          <w:rFonts w:ascii="楷体" w:hAnsi="楷体" w:eastAsia="楷体" w:cstheme="minorBidi"/>
          <w:color w:val="auto"/>
          <w:kern w:val="2"/>
          <w:sz w:val="28"/>
          <w:szCs w:val="28"/>
          <w:lang w:val="zh-CN"/>
        </w:rPr>
      </w:sdtEndPr>
      <w:sdtContent>
        <w:p>
          <w:pPr>
            <w:pStyle w:val="32"/>
            <w:spacing w:line="348" w:lineRule="auto"/>
            <w:jc w:val="center"/>
            <w:rPr>
              <w:rFonts w:ascii="华文中宋" w:hAnsi="华文中宋" w:eastAsia="华文中宋"/>
              <w:color w:val="auto"/>
              <w:sz w:val="52"/>
              <w:szCs w:val="48"/>
            </w:rPr>
          </w:pPr>
          <w:r>
            <w:rPr>
              <w:rFonts w:ascii="华文中宋" w:hAnsi="华文中宋" w:eastAsia="华文中宋"/>
              <w:color w:val="auto"/>
              <w:sz w:val="52"/>
              <w:szCs w:val="48"/>
              <w:lang w:val="zh-CN"/>
            </w:rPr>
            <w:t>目</w:t>
          </w:r>
          <w:r>
            <w:rPr>
              <w:rFonts w:hint="eastAsia" w:ascii="华文中宋" w:hAnsi="华文中宋" w:eastAsia="华文中宋"/>
              <w:color w:val="auto"/>
              <w:sz w:val="52"/>
              <w:szCs w:val="48"/>
              <w:lang w:val="zh-CN"/>
            </w:rPr>
            <w:t xml:space="preserve"> </w:t>
          </w:r>
          <w:r>
            <w:rPr>
              <w:rFonts w:ascii="华文中宋" w:hAnsi="华文中宋" w:eastAsia="华文中宋"/>
              <w:color w:val="auto"/>
              <w:sz w:val="52"/>
              <w:szCs w:val="48"/>
              <w:lang w:val="zh-CN"/>
            </w:rPr>
            <w:t>录</w:t>
          </w:r>
        </w:p>
        <w:p>
          <w:pPr>
            <w:pStyle w:val="11"/>
            <w:rPr>
              <w:rFonts w:asciiTheme="minorHAnsi" w:hAnsiTheme="minorHAnsi" w:eastAsiaTheme="minorEastAsia" w:cstheme="minorBidi"/>
              <w:szCs w:val="22"/>
            </w:rPr>
          </w:pPr>
          <w:r>
            <w:rPr>
              <w:sz w:val="72"/>
              <w:szCs w:val="72"/>
            </w:rPr>
            <w:fldChar w:fldCharType="begin"/>
          </w:r>
          <w:r>
            <w:rPr>
              <w:sz w:val="72"/>
              <w:szCs w:val="72"/>
            </w:rPr>
            <w:instrText xml:space="preserve"> TOC \o "1-3" \h \z \u </w:instrText>
          </w:r>
          <w:r>
            <w:rPr>
              <w:sz w:val="72"/>
              <w:szCs w:val="72"/>
            </w:rPr>
            <w:fldChar w:fldCharType="separate"/>
          </w:r>
          <w:r>
            <w:fldChar w:fldCharType="begin"/>
          </w:r>
          <w:r>
            <w:instrText xml:space="preserve"> HYPERLINK \l "_Toc61205000" </w:instrText>
          </w:r>
          <w:r>
            <w:fldChar w:fldCharType="separate"/>
          </w:r>
          <w:r>
            <w:rPr>
              <w:rStyle w:val="21"/>
              <w:sz w:val="32"/>
            </w:rPr>
            <w:t>前  言</w:t>
          </w:r>
          <w:r>
            <w:rPr>
              <w:sz w:val="32"/>
            </w:rPr>
            <w:tab/>
          </w:r>
          <w:r>
            <w:rPr>
              <w:sz w:val="32"/>
            </w:rPr>
            <w:fldChar w:fldCharType="begin"/>
          </w:r>
          <w:r>
            <w:rPr>
              <w:sz w:val="32"/>
            </w:rPr>
            <w:instrText xml:space="preserve"> PAGEREF _Toc61205000 \h </w:instrText>
          </w:r>
          <w:r>
            <w:rPr>
              <w:sz w:val="32"/>
            </w:rPr>
            <w:fldChar w:fldCharType="separate"/>
          </w:r>
          <w:r>
            <w:rPr>
              <w:sz w:val="32"/>
            </w:rPr>
            <w:t>1</w:t>
          </w:r>
          <w:r>
            <w:rPr>
              <w:sz w:val="32"/>
            </w:rPr>
            <w:fldChar w:fldCharType="end"/>
          </w:r>
          <w:r>
            <w:rPr>
              <w:sz w:val="32"/>
            </w:rPr>
            <w:fldChar w:fldCharType="end"/>
          </w:r>
        </w:p>
        <w:p>
          <w:pPr>
            <w:pStyle w:val="11"/>
            <w:rPr>
              <w:rFonts w:asciiTheme="minorHAnsi" w:hAnsiTheme="minorHAnsi" w:eastAsiaTheme="minorEastAsia" w:cstheme="minorBidi"/>
              <w:szCs w:val="22"/>
            </w:rPr>
          </w:pPr>
          <w:r>
            <w:fldChar w:fldCharType="begin"/>
          </w:r>
          <w:r>
            <w:instrText xml:space="preserve"> HYPERLINK \l "_Toc61205001" </w:instrText>
          </w:r>
          <w:r>
            <w:fldChar w:fldCharType="separate"/>
          </w:r>
          <w:r>
            <w:rPr>
              <w:rStyle w:val="21"/>
              <w:sz w:val="32"/>
            </w:rPr>
            <w:t>一、发展基础</w:t>
          </w:r>
          <w:r>
            <w:rPr>
              <w:sz w:val="32"/>
            </w:rPr>
            <w:tab/>
          </w:r>
          <w:r>
            <w:rPr>
              <w:sz w:val="32"/>
            </w:rPr>
            <w:fldChar w:fldCharType="begin"/>
          </w:r>
          <w:r>
            <w:rPr>
              <w:sz w:val="32"/>
            </w:rPr>
            <w:instrText xml:space="preserve"> PAGEREF _Toc61205001 \h </w:instrText>
          </w:r>
          <w:r>
            <w:rPr>
              <w:sz w:val="32"/>
            </w:rPr>
            <w:fldChar w:fldCharType="separate"/>
          </w:r>
          <w:r>
            <w:rPr>
              <w:sz w:val="32"/>
            </w:rPr>
            <w:t>2</w:t>
          </w:r>
          <w:r>
            <w:rPr>
              <w:sz w:val="32"/>
            </w:rPr>
            <w:fldChar w:fldCharType="end"/>
          </w:r>
          <w:r>
            <w:rPr>
              <w:sz w:val="32"/>
            </w:rPr>
            <w:fldChar w:fldCharType="end"/>
          </w:r>
        </w:p>
        <w:p>
          <w:pPr>
            <w:pStyle w:val="12"/>
            <w:rPr>
              <w:rFonts w:asciiTheme="minorHAnsi" w:eastAsiaTheme="minorEastAsia"/>
              <w:b w:val="0"/>
              <w:kern w:val="2"/>
              <w:sz w:val="24"/>
            </w:rPr>
          </w:pPr>
          <w:r>
            <w:fldChar w:fldCharType="begin"/>
          </w:r>
          <w:r>
            <w:instrText xml:space="preserve"> HYPERLINK \l "_Toc61205002" </w:instrText>
          </w:r>
          <w:r>
            <w:fldChar w:fldCharType="separate"/>
          </w:r>
          <w:r>
            <w:rPr>
              <w:rStyle w:val="21"/>
              <w:sz w:val="28"/>
            </w:rPr>
            <w:t>（一）发展成效</w:t>
          </w:r>
          <w:r>
            <w:rPr>
              <w:sz w:val="28"/>
            </w:rPr>
            <w:tab/>
          </w:r>
          <w:r>
            <w:rPr>
              <w:sz w:val="28"/>
            </w:rPr>
            <w:fldChar w:fldCharType="begin"/>
          </w:r>
          <w:r>
            <w:rPr>
              <w:sz w:val="28"/>
            </w:rPr>
            <w:instrText xml:space="preserve"> PAGEREF _Toc61205002 \h </w:instrText>
          </w:r>
          <w:r>
            <w:rPr>
              <w:sz w:val="28"/>
            </w:rPr>
            <w:fldChar w:fldCharType="separate"/>
          </w:r>
          <w:r>
            <w:rPr>
              <w:sz w:val="28"/>
            </w:rPr>
            <w:t>2</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"_Toc61205003" </w:instrText>
          </w:r>
          <w:r>
            <w:fldChar w:fldCharType="separate"/>
          </w:r>
          <w:r>
            <w:rPr>
              <w:rStyle w:val="21"/>
              <w:sz w:val="28"/>
            </w:rPr>
            <w:t>（二）存在问题</w:t>
          </w:r>
          <w:r>
            <w:rPr>
              <w:sz w:val="28"/>
            </w:rPr>
            <w:tab/>
          </w:r>
          <w:r>
            <w:rPr>
              <w:sz w:val="28"/>
            </w:rPr>
            <w:fldChar w:fldCharType="begin"/>
          </w:r>
          <w:r>
            <w:rPr>
              <w:sz w:val="28"/>
            </w:rPr>
            <w:instrText xml:space="preserve"> PAGEREF _Toc61205003 \h </w:instrText>
          </w:r>
          <w:r>
            <w:rPr>
              <w:sz w:val="28"/>
            </w:rPr>
            <w:fldChar w:fldCharType="separate"/>
          </w:r>
          <w:r>
            <w:rPr>
              <w:sz w:val="28"/>
            </w:rPr>
            <w:t>7</w:t>
          </w:r>
          <w:r>
            <w:rPr>
              <w:sz w:val="28"/>
            </w:rPr>
            <w:fldChar w:fldCharType="end"/>
          </w:r>
          <w:r>
            <w:rPr>
              <w:sz w:val="28"/>
            </w:rPr>
            <w:fldChar w:fldCharType="end"/>
          </w:r>
        </w:p>
        <w:p>
          <w:pPr>
            <w:pStyle w:val="11"/>
            <w:rPr>
              <w:rFonts w:asciiTheme="minorHAnsi" w:hAnsiTheme="minorHAnsi" w:eastAsiaTheme="minorEastAsia" w:cstheme="minorBidi"/>
              <w:szCs w:val="22"/>
            </w:rPr>
          </w:pPr>
          <w:r>
            <w:fldChar w:fldCharType="begin"/>
          </w:r>
          <w:r>
            <w:instrText xml:space="preserve"> HYPERLINK \l "_Toc61205004" </w:instrText>
          </w:r>
          <w:r>
            <w:fldChar w:fldCharType="separate"/>
          </w:r>
          <w:r>
            <w:rPr>
              <w:rStyle w:val="21"/>
              <w:sz w:val="32"/>
            </w:rPr>
            <w:t>二、发展环境</w:t>
          </w:r>
          <w:r>
            <w:rPr>
              <w:sz w:val="32"/>
            </w:rPr>
            <w:tab/>
          </w:r>
          <w:r>
            <w:rPr>
              <w:sz w:val="32"/>
            </w:rPr>
            <w:fldChar w:fldCharType="begin"/>
          </w:r>
          <w:r>
            <w:rPr>
              <w:sz w:val="32"/>
            </w:rPr>
            <w:instrText xml:space="preserve"> PAGEREF _Toc61205004 \h </w:instrText>
          </w:r>
          <w:r>
            <w:rPr>
              <w:sz w:val="32"/>
            </w:rPr>
            <w:fldChar w:fldCharType="separate"/>
          </w:r>
          <w:r>
            <w:rPr>
              <w:sz w:val="32"/>
            </w:rPr>
            <w:t>9</w:t>
          </w:r>
          <w:r>
            <w:rPr>
              <w:sz w:val="32"/>
            </w:rPr>
            <w:fldChar w:fldCharType="end"/>
          </w:r>
          <w:r>
            <w:rPr>
              <w:sz w:val="32"/>
            </w:rPr>
            <w:fldChar w:fldCharType="end"/>
          </w:r>
        </w:p>
        <w:p>
          <w:pPr>
            <w:pStyle w:val="12"/>
            <w:rPr>
              <w:rFonts w:asciiTheme="minorHAnsi" w:eastAsiaTheme="minorEastAsia"/>
              <w:b w:val="0"/>
              <w:kern w:val="2"/>
              <w:sz w:val="24"/>
            </w:rPr>
          </w:pPr>
          <w:r>
            <w:fldChar w:fldCharType="begin"/>
          </w:r>
          <w:r>
            <w:instrText xml:space="preserve"> HYPERLINK \l "_Toc61205005" </w:instrText>
          </w:r>
          <w:r>
            <w:fldChar w:fldCharType="separate"/>
          </w:r>
          <w:r>
            <w:rPr>
              <w:rStyle w:val="21"/>
              <w:rFonts w:ascii="楷体" w:hAnsi="楷体" w:eastAsia="楷体"/>
              <w:sz w:val="28"/>
            </w:rPr>
            <w:t>（一）国际环境</w:t>
          </w:r>
          <w:r>
            <w:rPr>
              <w:sz w:val="28"/>
            </w:rPr>
            <w:tab/>
          </w:r>
          <w:r>
            <w:rPr>
              <w:sz w:val="28"/>
            </w:rPr>
            <w:fldChar w:fldCharType="begin"/>
          </w:r>
          <w:r>
            <w:rPr>
              <w:sz w:val="28"/>
            </w:rPr>
            <w:instrText xml:space="preserve"> PAGEREF _Toc61205005 \h </w:instrText>
          </w:r>
          <w:r>
            <w:rPr>
              <w:sz w:val="28"/>
            </w:rPr>
            <w:fldChar w:fldCharType="separate"/>
          </w:r>
          <w:r>
            <w:rPr>
              <w:sz w:val="28"/>
            </w:rPr>
            <w:t>9</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"_Toc61205006" </w:instrText>
          </w:r>
          <w:r>
            <w:fldChar w:fldCharType="separate"/>
          </w:r>
          <w:r>
            <w:rPr>
              <w:rStyle w:val="21"/>
              <w:rFonts w:ascii="楷体" w:hAnsi="楷体" w:eastAsia="楷体"/>
              <w:sz w:val="28"/>
            </w:rPr>
            <w:t>（二）国内环境</w:t>
          </w:r>
          <w:r>
            <w:rPr>
              <w:sz w:val="28"/>
            </w:rPr>
            <w:tab/>
          </w:r>
          <w:r>
            <w:rPr>
              <w:sz w:val="28"/>
            </w:rPr>
            <w:fldChar w:fldCharType="begin"/>
          </w:r>
          <w:r>
            <w:rPr>
              <w:sz w:val="28"/>
            </w:rPr>
            <w:instrText xml:space="preserve"> PAGEREF _Toc61205006 \h </w:instrText>
          </w:r>
          <w:r>
            <w:rPr>
              <w:sz w:val="28"/>
            </w:rPr>
            <w:fldChar w:fldCharType="separate"/>
          </w:r>
          <w:r>
            <w:rPr>
              <w:sz w:val="28"/>
            </w:rPr>
            <w:t>10</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"_Toc61205007" </w:instrText>
          </w:r>
          <w:r>
            <w:fldChar w:fldCharType="separate"/>
          </w:r>
          <w:r>
            <w:rPr>
              <w:rStyle w:val="21"/>
              <w:rFonts w:ascii="楷体" w:hAnsi="楷体" w:eastAsia="楷体"/>
              <w:sz w:val="28"/>
            </w:rPr>
            <w:t>（三）义乌环境</w:t>
          </w:r>
          <w:r>
            <w:rPr>
              <w:sz w:val="28"/>
            </w:rPr>
            <w:tab/>
          </w:r>
          <w:r>
            <w:rPr>
              <w:sz w:val="28"/>
            </w:rPr>
            <w:fldChar w:fldCharType="begin"/>
          </w:r>
          <w:r>
            <w:rPr>
              <w:sz w:val="28"/>
            </w:rPr>
            <w:instrText xml:space="preserve"> PAGEREF _Toc61205007 \h </w:instrText>
          </w:r>
          <w:r>
            <w:rPr>
              <w:sz w:val="28"/>
            </w:rPr>
            <w:fldChar w:fldCharType="separate"/>
          </w:r>
          <w:r>
            <w:rPr>
              <w:sz w:val="28"/>
            </w:rPr>
            <w:t>12</w:t>
          </w:r>
          <w:r>
            <w:rPr>
              <w:sz w:val="28"/>
            </w:rPr>
            <w:fldChar w:fldCharType="end"/>
          </w:r>
          <w:r>
            <w:rPr>
              <w:sz w:val="28"/>
            </w:rPr>
            <w:fldChar w:fldCharType="end"/>
          </w:r>
        </w:p>
        <w:p>
          <w:pPr>
            <w:pStyle w:val="11"/>
            <w:rPr>
              <w:rFonts w:asciiTheme="minorHAnsi" w:hAnsiTheme="minorHAnsi" w:eastAsiaTheme="minorEastAsia" w:cstheme="minorBidi"/>
              <w:szCs w:val="22"/>
            </w:rPr>
          </w:pPr>
          <w:r>
            <w:fldChar w:fldCharType="begin"/>
          </w:r>
          <w:r>
            <w:instrText xml:space="preserve"> HYPERLINK \l "_Toc61205008" </w:instrText>
          </w:r>
          <w:r>
            <w:fldChar w:fldCharType="separate"/>
          </w:r>
          <w:r>
            <w:rPr>
              <w:rStyle w:val="21"/>
              <w:sz w:val="32"/>
            </w:rPr>
            <w:t>三、总体思路</w:t>
          </w:r>
          <w:r>
            <w:rPr>
              <w:sz w:val="32"/>
            </w:rPr>
            <w:tab/>
          </w:r>
          <w:r>
            <w:rPr>
              <w:sz w:val="32"/>
            </w:rPr>
            <w:fldChar w:fldCharType="begin"/>
          </w:r>
          <w:r>
            <w:rPr>
              <w:sz w:val="32"/>
            </w:rPr>
            <w:instrText xml:space="preserve"> PAGEREF _Toc61205008 \h </w:instrText>
          </w:r>
          <w:r>
            <w:rPr>
              <w:sz w:val="32"/>
            </w:rPr>
            <w:fldChar w:fldCharType="separate"/>
          </w:r>
          <w:r>
            <w:rPr>
              <w:sz w:val="32"/>
            </w:rPr>
            <w:t>14</w:t>
          </w:r>
          <w:r>
            <w:rPr>
              <w:sz w:val="32"/>
            </w:rPr>
            <w:fldChar w:fldCharType="end"/>
          </w:r>
          <w:r>
            <w:rPr>
              <w:sz w:val="32"/>
            </w:rPr>
            <w:fldChar w:fldCharType="end"/>
          </w:r>
        </w:p>
        <w:p>
          <w:pPr>
            <w:pStyle w:val="12"/>
            <w:rPr>
              <w:rFonts w:asciiTheme="minorHAnsi" w:eastAsiaTheme="minorEastAsia"/>
              <w:b w:val="0"/>
              <w:kern w:val="2"/>
              <w:sz w:val="24"/>
            </w:rPr>
          </w:pPr>
          <w:r>
            <w:fldChar w:fldCharType="begin"/>
          </w:r>
          <w:r>
            <w:instrText xml:space="preserve"> HYPERLINK \l "_Toc61205009" </w:instrText>
          </w:r>
          <w:r>
            <w:fldChar w:fldCharType="separate"/>
          </w:r>
          <w:r>
            <w:rPr>
              <w:rStyle w:val="21"/>
              <w:sz w:val="28"/>
            </w:rPr>
            <w:t>（一）指导思想</w:t>
          </w:r>
          <w:r>
            <w:rPr>
              <w:sz w:val="28"/>
            </w:rPr>
            <w:tab/>
          </w:r>
          <w:r>
            <w:rPr>
              <w:sz w:val="28"/>
            </w:rPr>
            <w:fldChar w:fldCharType="begin"/>
          </w:r>
          <w:r>
            <w:rPr>
              <w:sz w:val="28"/>
            </w:rPr>
            <w:instrText xml:space="preserve"> PAGEREF _Toc61205009 \h </w:instrText>
          </w:r>
          <w:r>
            <w:rPr>
              <w:sz w:val="28"/>
            </w:rPr>
            <w:fldChar w:fldCharType="separate"/>
          </w:r>
          <w:r>
            <w:rPr>
              <w:sz w:val="28"/>
            </w:rPr>
            <w:t>14</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"_Toc61205010" </w:instrText>
          </w:r>
          <w:r>
            <w:fldChar w:fldCharType="separate"/>
          </w:r>
          <w:r>
            <w:rPr>
              <w:rStyle w:val="21"/>
              <w:sz w:val="28"/>
            </w:rPr>
            <w:t>（二）基本原则</w:t>
          </w:r>
          <w:r>
            <w:rPr>
              <w:sz w:val="28"/>
            </w:rPr>
            <w:tab/>
          </w:r>
          <w:r>
            <w:rPr>
              <w:sz w:val="28"/>
            </w:rPr>
            <w:fldChar w:fldCharType="begin"/>
          </w:r>
          <w:r>
            <w:rPr>
              <w:sz w:val="28"/>
            </w:rPr>
            <w:instrText xml:space="preserve"> PAGEREF _Toc61205010 \h </w:instrText>
          </w:r>
          <w:r>
            <w:rPr>
              <w:sz w:val="28"/>
            </w:rPr>
            <w:fldChar w:fldCharType="separate"/>
          </w:r>
          <w:r>
            <w:rPr>
              <w:sz w:val="28"/>
            </w:rPr>
            <w:t>14</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"_Toc61205011" </w:instrText>
          </w:r>
          <w:r>
            <w:fldChar w:fldCharType="separate"/>
          </w:r>
          <w:r>
            <w:rPr>
              <w:rStyle w:val="21"/>
              <w:sz w:val="28"/>
            </w:rPr>
            <w:t>（三）发展目标</w:t>
          </w:r>
          <w:r>
            <w:rPr>
              <w:sz w:val="28"/>
            </w:rPr>
            <w:tab/>
          </w:r>
          <w:r>
            <w:rPr>
              <w:sz w:val="28"/>
            </w:rPr>
            <w:fldChar w:fldCharType="begin"/>
          </w:r>
          <w:r>
            <w:rPr>
              <w:sz w:val="28"/>
            </w:rPr>
            <w:instrText xml:space="preserve"> PAGEREF _Toc61205011 \h </w:instrText>
          </w:r>
          <w:r>
            <w:rPr>
              <w:sz w:val="28"/>
            </w:rPr>
            <w:fldChar w:fldCharType="separate"/>
          </w:r>
          <w:r>
            <w:rPr>
              <w:sz w:val="28"/>
            </w:rPr>
            <w:t>15</w:t>
          </w:r>
          <w:r>
            <w:rPr>
              <w:sz w:val="28"/>
            </w:rPr>
            <w:fldChar w:fldCharType="end"/>
          </w:r>
          <w:r>
            <w:rPr>
              <w:sz w:val="28"/>
            </w:rPr>
            <w:fldChar w:fldCharType="end"/>
          </w:r>
        </w:p>
        <w:p>
          <w:pPr>
            <w:pStyle w:val="11"/>
            <w:rPr>
              <w:rFonts w:asciiTheme="minorHAnsi" w:hAnsiTheme="minorHAnsi" w:eastAsiaTheme="minorEastAsia" w:cstheme="minorBidi"/>
              <w:szCs w:val="22"/>
            </w:rPr>
          </w:pPr>
          <w:r>
            <w:fldChar w:fldCharType="begin"/>
          </w:r>
          <w:r>
            <w:instrText xml:space="preserve"> HYPERLINK \l "_Toc61205012" </w:instrText>
          </w:r>
          <w:r>
            <w:fldChar w:fldCharType="separate"/>
          </w:r>
          <w:r>
            <w:rPr>
              <w:rStyle w:val="21"/>
              <w:sz w:val="32"/>
            </w:rPr>
            <w:t>四、主要任务</w:t>
          </w:r>
          <w:r>
            <w:rPr>
              <w:sz w:val="32"/>
            </w:rPr>
            <w:tab/>
          </w:r>
          <w:r>
            <w:rPr>
              <w:sz w:val="32"/>
            </w:rPr>
            <w:fldChar w:fldCharType="begin"/>
          </w:r>
          <w:r>
            <w:rPr>
              <w:sz w:val="32"/>
            </w:rPr>
            <w:instrText xml:space="preserve"> PAGEREF _Toc61205012 \h </w:instrText>
          </w:r>
          <w:r>
            <w:rPr>
              <w:sz w:val="32"/>
            </w:rPr>
            <w:fldChar w:fldCharType="separate"/>
          </w:r>
          <w:r>
            <w:rPr>
              <w:sz w:val="32"/>
            </w:rPr>
            <w:t>18</w:t>
          </w:r>
          <w:r>
            <w:rPr>
              <w:sz w:val="32"/>
            </w:rPr>
            <w:fldChar w:fldCharType="end"/>
          </w:r>
          <w:r>
            <w:rPr>
              <w:sz w:val="32"/>
            </w:rPr>
            <w:fldChar w:fldCharType="end"/>
          </w:r>
        </w:p>
        <w:p>
          <w:pPr>
            <w:pStyle w:val="12"/>
            <w:rPr>
              <w:rFonts w:asciiTheme="minorHAnsi" w:eastAsiaTheme="minorEastAsia"/>
              <w:b w:val="0"/>
              <w:kern w:val="2"/>
              <w:sz w:val="24"/>
            </w:rPr>
          </w:pPr>
          <w:r>
            <w:fldChar w:fldCharType="begin"/>
          </w:r>
          <w:r>
            <w:instrText xml:space="preserve"> HYPERLINK \l "_Toc61205013" </w:instrText>
          </w:r>
          <w:r>
            <w:fldChar w:fldCharType="separate"/>
          </w:r>
          <w:r>
            <w:rPr>
              <w:rStyle w:val="21"/>
              <w:sz w:val="28"/>
            </w:rPr>
            <w:t>（一）深化市场化改革，优化要素资源配置</w:t>
          </w:r>
          <w:r>
            <w:rPr>
              <w:sz w:val="28"/>
            </w:rPr>
            <w:tab/>
          </w:r>
          <w:r>
            <w:rPr>
              <w:sz w:val="28"/>
            </w:rPr>
            <w:fldChar w:fldCharType="begin"/>
          </w:r>
          <w:r>
            <w:rPr>
              <w:sz w:val="28"/>
            </w:rPr>
            <w:instrText xml:space="preserve"> PAGEREF _Toc61205013 \h </w:instrText>
          </w:r>
          <w:r>
            <w:rPr>
              <w:sz w:val="28"/>
            </w:rPr>
            <w:fldChar w:fldCharType="separate"/>
          </w:r>
          <w:r>
            <w:rPr>
              <w:sz w:val="28"/>
            </w:rPr>
            <w:t>18</w:t>
          </w:r>
          <w:r>
            <w:rPr>
              <w:sz w:val="28"/>
            </w:rPr>
            <w:fldChar w:fldCharType="end"/>
          </w:r>
          <w:r>
            <w:rPr>
              <w:sz w:val="28"/>
            </w:rPr>
            <w:fldChar w:fldCharType="end"/>
          </w:r>
        </w:p>
        <w:p>
          <w:pPr>
            <w:pStyle w:val="7"/>
            <w:rPr>
              <w:rFonts w:asciiTheme="minorHAnsi" w:hAnsiTheme="minorHAnsi" w:eastAsiaTheme="minorEastAsia"/>
              <w:sz w:val="21"/>
              <w:szCs w:val="22"/>
            </w:rPr>
          </w:pPr>
          <w:r>
            <w:fldChar w:fldCharType="begin"/>
          </w:r>
          <w:r>
            <w:instrText xml:space="preserve"> HYPERLINK \l "_Toc61205014" </w:instrText>
          </w:r>
          <w:r>
            <w:fldChar w:fldCharType="separate"/>
          </w:r>
          <w:r>
            <w:rPr>
              <w:rStyle w:val="21"/>
            </w:rPr>
            <w:t>1.推动商位资源市场化配置</w:t>
          </w:r>
          <w:r>
            <w:tab/>
          </w:r>
          <w:r>
            <w:fldChar w:fldCharType="begin"/>
          </w:r>
          <w:r>
            <w:instrText xml:space="preserve"> PAGEREF _Toc61205014 \h </w:instrText>
          </w:r>
          <w:r>
            <w:fldChar w:fldCharType="separate"/>
          </w:r>
          <w:r>
            <w:t>18</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"_Toc61205015" </w:instrText>
          </w:r>
          <w:r>
            <w:fldChar w:fldCharType="separate"/>
          </w:r>
          <w:r>
            <w:rPr>
              <w:rStyle w:val="21"/>
            </w:rPr>
            <w:t>2.加强市场资源优品化建设</w:t>
          </w:r>
          <w:r>
            <w:tab/>
          </w:r>
          <w:r>
            <w:fldChar w:fldCharType="begin"/>
          </w:r>
          <w:r>
            <w:instrText xml:space="preserve"> PAGEREF _Toc61205015 \h </w:instrText>
          </w:r>
          <w:r>
            <w:fldChar w:fldCharType="separate"/>
          </w:r>
          <w:r>
            <w:t>19</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"_Toc61205016" </w:instrText>
          </w:r>
          <w:r>
            <w:fldChar w:fldCharType="separate"/>
          </w:r>
          <w:r>
            <w:rPr>
              <w:rStyle w:val="21"/>
            </w:rPr>
            <w:t>3.推进管理资源服务化转变</w:t>
          </w:r>
          <w:r>
            <w:tab/>
          </w:r>
          <w:r>
            <w:fldChar w:fldCharType="begin"/>
          </w:r>
          <w:r>
            <w:instrText xml:space="preserve"> PAGEREF _Toc61205016 \h </w:instrText>
          </w:r>
          <w:r>
            <w:fldChar w:fldCharType="separate"/>
          </w:r>
          <w:r>
            <w:t>20</w:t>
          </w:r>
          <w:r>
            <w:fldChar w:fldCharType="end"/>
          </w:r>
          <w:r>
            <w:fldChar w:fldCharType="end"/>
          </w:r>
        </w:p>
        <w:p>
          <w:pPr>
            <w:pStyle w:val="12"/>
            <w:rPr>
              <w:rStyle w:val="21"/>
              <w:sz w:val="28"/>
            </w:rPr>
          </w:pPr>
          <w:r>
            <w:fldChar w:fldCharType="begin"/>
          </w:r>
          <w:r>
            <w:instrText xml:space="preserve"> HYPERLINK \l "_Toc61205017" </w:instrText>
          </w:r>
          <w:r>
            <w:fldChar w:fldCharType="separate"/>
          </w:r>
          <w:r>
            <w:rPr>
              <w:rStyle w:val="21"/>
              <w:sz w:val="28"/>
            </w:rPr>
            <w:t>（二）打造“生态圈”，优化市场空间布局</w:t>
          </w:r>
          <w:r>
            <w:rPr>
              <w:rStyle w:val="21"/>
              <w:sz w:val="28"/>
            </w:rPr>
            <w:tab/>
          </w:r>
          <w:r>
            <w:rPr>
              <w:rStyle w:val="21"/>
              <w:sz w:val="28"/>
            </w:rPr>
            <w:fldChar w:fldCharType="begin"/>
          </w:r>
          <w:r>
            <w:rPr>
              <w:rStyle w:val="21"/>
              <w:sz w:val="28"/>
            </w:rPr>
            <w:instrText xml:space="preserve"> PAGEREF _Toc61205017 \h </w:instrText>
          </w:r>
          <w:r>
            <w:rPr>
              <w:rStyle w:val="21"/>
              <w:sz w:val="28"/>
            </w:rPr>
            <w:fldChar w:fldCharType="separate"/>
          </w:r>
          <w:r>
            <w:rPr>
              <w:rStyle w:val="21"/>
              <w:sz w:val="28"/>
            </w:rPr>
            <w:t>21</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"_Toc61205018" </w:instrText>
          </w:r>
          <w:r>
            <w:fldChar w:fldCharType="separate"/>
          </w:r>
          <w:r>
            <w:rPr>
              <w:rStyle w:val="21"/>
            </w:rPr>
            <w:t>1.优化内部及周边空间配置</w:t>
          </w:r>
          <w:r>
            <w:tab/>
          </w:r>
          <w:r>
            <w:fldChar w:fldCharType="begin"/>
          </w:r>
          <w:r>
            <w:instrText xml:space="preserve"> PAGEREF _Toc61205018 \h </w:instrText>
          </w:r>
          <w:r>
            <w:fldChar w:fldCharType="separate"/>
          </w:r>
          <w:r>
            <w:t>21</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"_Toc61205019" </w:instrText>
          </w:r>
          <w:r>
            <w:fldChar w:fldCharType="separate"/>
          </w:r>
          <w:r>
            <w:rPr>
              <w:rStyle w:val="21"/>
            </w:rPr>
            <w:t>2.优化存量市场空间布局</w:t>
          </w:r>
          <w:r>
            <w:tab/>
          </w:r>
          <w:r>
            <w:fldChar w:fldCharType="begin"/>
          </w:r>
          <w:r>
            <w:instrText xml:space="preserve"> PAGEREF _Toc61205019 \h </w:instrText>
          </w:r>
          <w:r>
            <w:fldChar w:fldCharType="separate"/>
          </w:r>
          <w:r>
            <w:t>22</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"_Toc61205020" </w:instrText>
          </w:r>
          <w:r>
            <w:fldChar w:fldCharType="separate"/>
          </w:r>
          <w:r>
            <w:rPr>
              <w:rStyle w:val="21"/>
            </w:rPr>
            <w:t>3.完善新增市场空间布局</w:t>
          </w:r>
          <w:r>
            <w:tab/>
          </w:r>
          <w:r>
            <w:fldChar w:fldCharType="begin"/>
          </w:r>
          <w:r>
            <w:instrText xml:space="preserve"> PAGEREF _Toc61205020 \h </w:instrText>
          </w:r>
          <w:r>
            <w:fldChar w:fldCharType="separate"/>
          </w:r>
          <w:r>
            <w:t>22</w:t>
          </w:r>
          <w:r>
            <w:fldChar w:fldCharType="end"/>
          </w:r>
          <w:r>
            <w:fldChar w:fldCharType="end"/>
          </w:r>
        </w:p>
        <w:p>
          <w:pPr>
            <w:pStyle w:val="12"/>
            <w:rPr>
              <w:rStyle w:val="21"/>
              <w:sz w:val="28"/>
            </w:rPr>
          </w:pPr>
          <w:r>
            <w:fldChar w:fldCharType="begin"/>
          </w:r>
          <w:r>
            <w:instrText xml:space="preserve"> HYPERLINK \l "_Toc61205021" </w:instrText>
          </w:r>
          <w:r>
            <w:fldChar w:fldCharType="separate"/>
          </w:r>
          <w:r>
            <w:rPr>
              <w:rStyle w:val="21"/>
              <w:sz w:val="28"/>
            </w:rPr>
            <w:t>（三）融入国内大循环，推动内贸市场升级</w:t>
          </w:r>
          <w:r>
            <w:rPr>
              <w:rStyle w:val="21"/>
              <w:sz w:val="28"/>
            </w:rPr>
            <w:tab/>
          </w:r>
          <w:r>
            <w:rPr>
              <w:rStyle w:val="21"/>
              <w:sz w:val="28"/>
            </w:rPr>
            <w:fldChar w:fldCharType="begin"/>
          </w:r>
          <w:r>
            <w:rPr>
              <w:rStyle w:val="21"/>
              <w:sz w:val="28"/>
            </w:rPr>
            <w:instrText xml:space="preserve"> PAGEREF _Toc61205021 \h </w:instrText>
          </w:r>
          <w:r>
            <w:rPr>
              <w:rStyle w:val="21"/>
              <w:sz w:val="28"/>
            </w:rPr>
            <w:fldChar w:fldCharType="separate"/>
          </w:r>
          <w:r>
            <w:rPr>
              <w:rStyle w:val="21"/>
              <w:sz w:val="28"/>
            </w:rPr>
            <w:t>24</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"_Toc61205022" </w:instrText>
          </w:r>
          <w:r>
            <w:fldChar w:fldCharType="separate"/>
          </w:r>
          <w:r>
            <w:rPr>
              <w:rStyle w:val="21"/>
            </w:rPr>
            <w:t>1.优化内贸市场网络布局</w:t>
          </w:r>
          <w:r>
            <w:tab/>
          </w:r>
          <w:r>
            <w:fldChar w:fldCharType="begin"/>
          </w:r>
          <w:r>
            <w:instrText xml:space="preserve"> PAGEREF _Toc61205022 \h </w:instrText>
          </w:r>
          <w:r>
            <w:fldChar w:fldCharType="separate"/>
          </w:r>
          <w:r>
            <w:t>25</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"_Toc61205023" </w:instrText>
          </w:r>
          <w:r>
            <w:fldChar w:fldCharType="separate"/>
          </w:r>
          <w:r>
            <w:rPr>
              <w:rStyle w:val="21"/>
            </w:rPr>
            <w:t>2.推动内贸市场融合发展</w:t>
          </w:r>
          <w:r>
            <w:tab/>
          </w:r>
          <w:r>
            <w:fldChar w:fldCharType="begin"/>
          </w:r>
          <w:r>
            <w:instrText xml:space="preserve"> PAGEREF _Toc61205023 \h </w:instrText>
          </w:r>
          <w:r>
            <w:fldChar w:fldCharType="separate"/>
          </w:r>
          <w:r>
            <w:t>26</w:t>
          </w:r>
          <w:r>
            <w:fldChar w:fldCharType="end"/>
          </w:r>
          <w:r>
            <w:fldChar w:fldCharType="end"/>
          </w:r>
        </w:p>
        <w:p>
          <w:pPr>
            <w:pStyle w:val="12"/>
            <w:rPr>
              <w:rStyle w:val="21"/>
              <w:sz w:val="28"/>
            </w:rPr>
          </w:pPr>
          <w:r>
            <w:fldChar w:fldCharType="begin"/>
          </w:r>
          <w:r>
            <w:instrText xml:space="preserve"> HYPERLINK \l "_Toc61205024" </w:instrText>
          </w:r>
          <w:r>
            <w:fldChar w:fldCharType="separate"/>
          </w:r>
          <w:r>
            <w:rPr>
              <w:rStyle w:val="21"/>
              <w:sz w:val="28"/>
            </w:rPr>
            <w:t>（四）畅通国际大循环，推进外贸市场创新发展</w:t>
          </w:r>
          <w:r>
            <w:rPr>
              <w:rStyle w:val="21"/>
              <w:sz w:val="28"/>
            </w:rPr>
            <w:tab/>
          </w:r>
          <w:r>
            <w:rPr>
              <w:rStyle w:val="21"/>
              <w:sz w:val="28"/>
            </w:rPr>
            <w:fldChar w:fldCharType="begin"/>
          </w:r>
          <w:r>
            <w:rPr>
              <w:rStyle w:val="21"/>
              <w:sz w:val="28"/>
            </w:rPr>
            <w:instrText xml:space="preserve"> PAGEREF _Toc61205024 \h </w:instrText>
          </w:r>
          <w:r>
            <w:rPr>
              <w:rStyle w:val="21"/>
              <w:sz w:val="28"/>
            </w:rPr>
            <w:fldChar w:fldCharType="separate"/>
          </w:r>
          <w:r>
            <w:rPr>
              <w:rStyle w:val="21"/>
              <w:sz w:val="28"/>
            </w:rPr>
            <w:t>26</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"_Toc61205025" </w:instrText>
          </w:r>
          <w:r>
            <w:fldChar w:fldCharType="separate"/>
          </w:r>
          <w:r>
            <w:rPr>
              <w:rStyle w:val="21"/>
            </w:rPr>
            <w:t>1.构建便捷国际物流通道</w:t>
          </w:r>
          <w:r>
            <w:tab/>
          </w:r>
          <w:r>
            <w:fldChar w:fldCharType="begin"/>
          </w:r>
          <w:r>
            <w:instrText xml:space="preserve"> PAGEREF _Toc61205025 \h </w:instrText>
          </w:r>
          <w:r>
            <w:fldChar w:fldCharType="separate"/>
          </w:r>
          <w:r>
            <w:t>27</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"_Toc61205026" </w:instrText>
          </w:r>
          <w:r>
            <w:fldChar w:fldCharType="separate"/>
          </w:r>
          <w:r>
            <w:rPr>
              <w:rStyle w:val="21"/>
            </w:rPr>
            <w:t>2.推动进出口均衡发展</w:t>
          </w:r>
          <w:r>
            <w:tab/>
          </w:r>
          <w:r>
            <w:fldChar w:fldCharType="begin"/>
          </w:r>
          <w:r>
            <w:instrText xml:space="preserve"> PAGEREF _Toc61205026 \h </w:instrText>
          </w:r>
          <w:r>
            <w:fldChar w:fldCharType="separate"/>
          </w:r>
          <w:r>
            <w:t>28</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"_Toc61205027" </w:instrText>
          </w:r>
          <w:r>
            <w:fldChar w:fldCharType="separate"/>
          </w:r>
          <w:r>
            <w:rPr>
              <w:rStyle w:val="21"/>
            </w:rPr>
            <w:t>3.实施市场“走出去”战略</w:t>
          </w:r>
          <w:r>
            <w:tab/>
          </w:r>
          <w:r>
            <w:fldChar w:fldCharType="begin"/>
          </w:r>
          <w:r>
            <w:instrText xml:space="preserve"> PAGEREF _Toc61205027 \h </w:instrText>
          </w:r>
          <w:r>
            <w:fldChar w:fldCharType="separate"/>
          </w:r>
          <w:r>
            <w:t>29</w:t>
          </w:r>
          <w:r>
            <w:fldChar w:fldCharType="end"/>
          </w:r>
          <w:r>
            <w:fldChar w:fldCharType="end"/>
          </w:r>
        </w:p>
        <w:p>
          <w:pPr>
            <w:pStyle w:val="12"/>
            <w:rPr>
              <w:rStyle w:val="21"/>
              <w:sz w:val="28"/>
            </w:rPr>
          </w:pPr>
          <w:r>
            <w:fldChar w:fldCharType="begin"/>
          </w:r>
          <w:r>
            <w:instrText xml:space="preserve"> HYPERLINK \l "_Toc61205028" </w:instrText>
          </w:r>
          <w:r>
            <w:fldChar w:fldCharType="separate"/>
          </w:r>
          <w:r>
            <w:rPr>
              <w:rStyle w:val="21"/>
              <w:sz w:val="28"/>
            </w:rPr>
            <w:t>（五）强化数字化赋能，积极发展新型贸易方式</w:t>
          </w:r>
          <w:r>
            <w:rPr>
              <w:rStyle w:val="21"/>
              <w:sz w:val="28"/>
            </w:rPr>
            <w:tab/>
          </w:r>
          <w:r>
            <w:rPr>
              <w:rStyle w:val="21"/>
              <w:sz w:val="28"/>
            </w:rPr>
            <w:fldChar w:fldCharType="begin"/>
          </w:r>
          <w:r>
            <w:rPr>
              <w:rStyle w:val="21"/>
              <w:sz w:val="28"/>
            </w:rPr>
            <w:instrText xml:space="preserve"> PAGEREF _Toc61205028 \h </w:instrText>
          </w:r>
          <w:r>
            <w:rPr>
              <w:rStyle w:val="21"/>
              <w:sz w:val="28"/>
            </w:rPr>
            <w:fldChar w:fldCharType="separate"/>
          </w:r>
          <w:r>
            <w:rPr>
              <w:rStyle w:val="21"/>
              <w:sz w:val="28"/>
            </w:rPr>
            <w:t>30</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"_Toc61205029" </w:instrText>
          </w:r>
          <w:r>
            <w:fldChar w:fldCharType="separate"/>
          </w:r>
          <w:r>
            <w:rPr>
              <w:rStyle w:val="21"/>
            </w:rPr>
            <w:t>1.加快义乌市场数字化转型</w:t>
          </w:r>
          <w:r>
            <w:tab/>
          </w:r>
          <w:r>
            <w:fldChar w:fldCharType="begin"/>
          </w:r>
          <w:r>
            <w:instrText xml:space="preserve"> PAGEREF _Toc61205029 \h </w:instrText>
          </w:r>
          <w:r>
            <w:fldChar w:fldCharType="separate"/>
          </w:r>
          <w:r>
            <w:t>31</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"_Toc61205030" </w:instrText>
          </w:r>
          <w:r>
            <w:fldChar w:fldCharType="separate"/>
          </w:r>
          <w:r>
            <w:rPr>
              <w:rStyle w:val="21"/>
            </w:rPr>
            <w:t>2.探索发展新型国际易货贸易</w:t>
          </w:r>
          <w:r>
            <w:tab/>
          </w:r>
          <w:r>
            <w:fldChar w:fldCharType="begin"/>
          </w:r>
          <w:r>
            <w:instrText xml:space="preserve"> PAGEREF _Toc61205030 \h </w:instrText>
          </w:r>
          <w:r>
            <w:fldChar w:fldCharType="separate"/>
          </w:r>
          <w:r>
            <w:t>32</w:t>
          </w:r>
          <w:r>
            <w:fldChar w:fldCharType="end"/>
          </w:r>
          <w:r>
            <w:fldChar w:fldCharType="end"/>
          </w:r>
        </w:p>
        <w:p>
          <w:pPr>
            <w:pStyle w:val="12"/>
            <w:rPr>
              <w:rStyle w:val="21"/>
              <w:sz w:val="28"/>
            </w:rPr>
          </w:pPr>
          <w:r>
            <w:fldChar w:fldCharType="begin"/>
          </w:r>
          <w:r>
            <w:instrText xml:space="preserve"> HYPERLINK \l "_Toc61205031" </w:instrText>
          </w:r>
          <w:r>
            <w:fldChar w:fldCharType="separate"/>
          </w:r>
          <w:r>
            <w:rPr>
              <w:rStyle w:val="21"/>
              <w:sz w:val="28"/>
            </w:rPr>
            <w:t>（六）推进融合化发展，健全市场服务支撑体系</w:t>
          </w:r>
          <w:r>
            <w:rPr>
              <w:rStyle w:val="21"/>
              <w:sz w:val="28"/>
            </w:rPr>
            <w:tab/>
          </w:r>
          <w:r>
            <w:rPr>
              <w:rStyle w:val="21"/>
              <w:sz w:val="28"/>
            </w:rPr>
            <w:fldChar w:fldCharType="begin"/>
          </w:r>
          <w:r>
            <w:rPr>
              <w:rStyle w:val="21"/>
              <w:sz w:val="28"/>
            </w:rPr>
            <w:instrText xml:space="preserve"> PAGEREF _Toc61205031 \h </w:instrText>
          </w:r>
          <w:r>
            <w:rPr>
              <w:rStyle w:val="21"/>
              <w:sz w:val="28"/>
            </w:rPr>
            <w:fldChar w:fldCharType="separate"/>
          </w:r>
          <w:r>
            <w:rPr>
              <w:rStyle w:val="21"/>
              <w:sz w:val="28"/>
            </w:rPr>
            <w:t>33</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"_Toc61205032" </w:instrText>
          </w:r>
          <w:r>
            <w:fldChar w:fldCharType="separate"/>
          </w:r>
          <w:r>
            <w:rPr>
              <w:rStyle w:val="21"/>
            </w:rPr>
            <w:t>1.健全贸工联动发展机制</w:t>
          </w:r>
          <w:r>
            <w:tab/>
          </w:r>
          <w:r>
            <w:fldChar w:fldCharType="begin"/>
          </w:r>
          <w:r>
            <w:instrText xml:space="preserve"> PAGEREF _Toc61205032 \h </w:instrText>
          </w:r>
          <w:r>
            <w:fldChar w:fldCharType="separate"/>
          </w:r>
          <w:r>
            <w:t>33</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"_Toc61205033" </w:instrText>
          </w:r>
          <w:r>
            <w:fldChar w:fldCharType="separate"/>
          </w:r>
          <w:r>
            <w:rPr>
              <w:rStyle w:val="21"/>
            </w:rPr>
            <w:t>2.推进商贸物流深度融合</w:t>
          </w:r>
          <w:r>
            <w:tab/>
          </w:r>
          <w:r>
            <w:fldChar w:fldCharType="begin"/>
          </w:r>
          <w:r>
            <w:instrText xml:space="preserve"> PAGEREF _Toc61205033 \h </w:instrText>
          </w:r>
          <w:r>
            <w:fldChar w:fldCharType="separate"/>
          </w:r>
          <w:r>
            <w:t>34</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"_Toc61205034" </w:instrText>
          </w:r>
          <w:r>
            <w:fldChar w:fldCharType="separate"/>
          </w:r>
          <w:r>
            <w:rPr>
              <w:rStyle w:val="21"/>
            </w:rPr>
            <w:t>3.强化“展场联动”发展</w:t>
          </w:r>
          <w:r>
            <w:tab/>
          </w:r>
          <w:r>
            <w:fldChar w:fldCharType="begin"/>
          </w:r>
          <w:r>
            <w:instrText xml:space="preserve"> PAGEREF _Toc61205034 \h </w:instrText>
          </w:r>
          <w:r>
            <w:fldChar w:fldCharType="separate"/>
          </w:r>
          <w:r>
            <w:t>35</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"_Toc61205035" </w:instrText>
          </w:r>
          <w:r>
            <w:fldChar w:fldCharType="separate"/>
          </w:r>
          <w:r>
            <w:rPr>
              <w:rStyle w:val="21"/>
            </w:rPr>
            <w:t>4.加强金融对市场的支撑</w:t>
          </w:r>
          <w:r>
            <w:tab/>
          </w:r>
          <w:r>
            <w:fldChar w:fldCharType="begin"/>
          </w:r>
          <w:r>
            <w:instrText xml:space="preserve"> PAGEREF _Toc61205035 \h </w:instrText>
          </w:r>
          <w:r>
            <w:fldChar w:fldCharType="separate"/>
          </w:r>
          <w:r>
            <w:t>35</w:t>
          </w:r>
          <w:r>
            <w:fldChar w:fldCharType="end"/>
          </w:r>
          <w:r>
            <w:fldChar w:fldCharType="end"/>
          </w:r>
        </w:p>
        <w:p>
          <w:pPr>
            <w:pStyle w:val="11"/>
            <w:rPr>
              <w:rStyle w:val="21"/>
              <w:sz w:val="32"/>
            </w:rPr>
          </w:pPr>
          <w:r>
            <w:fldChar w:fldCharType="begin"/>
          </w:r>
          <w:r>
            <w:instrText xml:space="preserve"> HYPERLINK \l "_Toc61205036" </w:instrText>
          </w:r>
          <w:r>
            <w:fldChar w:fldCharType="separate"/>
          </w:r>
          <w:r>
            <w:rPr>
              <w:rStyle w:val="21"/>
              <w:sz w:val="32"/>
            </w:rPr>
            <w:t>五、重点工程</w:t>
          </w:r>
          <w:r>
            <w:rPr>
              <w:rStyle w:val="21"/>
              <w:sz w:val="32"/>
            </w:rPr>
            <w:tab/>
          </w:r>
          <w:r>
            <w:rPr>
              <w:rStyle w:val="21"/>
              <w:sz w:val="32"/>
            </w:rPr>
            <w:fldChar w:fldCharType="begin"/>
          </w:r>
          <w:r>
            <w:rPr>
              <w:rStyle w:val="21"/>
              <w:sz w:val="32"/>
            </w:rPr>
            <w:instrText xml:space="preserve"> PAGEREF _Toc61205036 \h </w:instrText>
          </w:r>
          <w:r>
            <w:rPr>
              <w:rStyle w:val="21"/>
              <w:sz w:val="32"/>
            </w:rPr>
            <w:fldChar w:fldCharType="separate"/>
          </w:r>
          <w:r>
            <w:rPr>
              <w:rStyle w:val="21"/>
              <w:sz w:val="32"/>
            </w:rPr>
            <w:t>36</w:t>
          </w:r>
          <w:r>
            <w:rPr>
              <w:rStyle w:val="21"/>
              <w:sz w:val="32"/>
            </w:rPr>
            <w:fldChar w:fldCharType="end"/>
          </w:r>
          <w:r>
            <w:rPr>
              <w:rStyle w:val="21"/>
              <w:sz w:val="32"/>
            </w:rPr>
            <w:fldChar w:fldCharType="end"/>
          </w:r>
        </w:p>
        <w:p>
          <w:pPr>
            <w:pStyle w:val="12"/>
            <w:rPr>
              <w:rStyle w:val="21"/>
              <w:sz w:val="28"/>
            </w:rPr>
          </w:pPr>
          <w:r>
            <w:fldChar w:fldCharType="begin"/>
          </w:r>
          <w:r>
            <w:instrText xml:space="preserve"> HYPERLINK \l "_Toc61205037" </w:instrText>
          </w:r>
          <w:r>
            <w:fldChar w:fldCharType="separate"/>
          </w:r>
          <w:r>
            <w:rPr>
              <w:rStyle w:val="21"/>
              <w:sz w:val="28"/>
            </w:rPr>
            <w:t>（一）市场引新培优工程</w:t>
          </w:r>
          <w:r>
            <w:rPr>
              <w:rStyle w:val="21"/>
              <w:sz w:val="28"/>
            </w:rPr>
            <w:tab/>
          </w:r>
          <w:r>
            <w:rPr>
              <w:rStyle w:val="21"/>
              <w:sz w:val="28"/>
            </w:rPr>
            <w:fldChar w:fldCharType="begin"/>
          </w:r>
          <w:r>
            <w:rPr>
              <w:rStyle w:val="21"/>
              <w:sz w:val="28"/>
            </w:rPr>
            <w:instrText xml:space="preserve"> PAGEREF _Toc61205037 \h </w:instrText>
          </w:r>
          <w:r>
            <w:rPr>
              <w:rStyle w:val="21"/>
              <w:sz w:val="28"/>
            </w:rPr>
            <w:fldChar w:fldCharType="separate"/>
          </w:r>
          <w:r>
            <w:rPr>
              <w:rStyle w:val="21"/>
              <w:sz w:val="28"/>
            </w:rPr>
            <w:t>36</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"_Toc61205038" </w:instrText>
          </w:r>
          <w:r>
            <w:fldChar w:fldCharType="separate"/>
          </w:r>
          <w:r>
            <w:rPr>
              <w:rStyle w:val="21"/>
              <w:sz w:val="28"/>
            </w:rPr>
            <w:t>（二）市场数字赋能工程</w:t>
          </w:r>
          <w:r>
            <w:rPr>
              <w:rStyle w:val="21"/>
              <w:sz w:val="28"/>
            </w:rPr>
            <w:tab/>
          </w:r>
          <w:r>
            <w:rPr>
              <w:rStyle w:val="21"/>
              <w:sz w:val="28"/>
            </w:rPr>
            <w:fldChar w:fldCharType="begin"/>
          </w:r>
          <w:r>
            <w:rPr>
              <w:rStyle w:val="21"/>
              <w:sz w:val="28"/>
            </w:rPr>
            <w:instrText xml:space="preserve"> PAGEREF _Toc61205038 \h </w:instrText>
          </w:r>
          <w:r>
            <w:rPr>
              <w:rStyle w:val="21"/>
              <w:sz w:val="28"/>
            </w:rPr>
            <w:fldChar w:fldCharType="separate"/>
          </w:r>
          <w:r>
            <w:rPr>
              <w:rStyle w:val="21"/>
              <w:sz w:val="28"/>
            </w:rPr>
            <w:t>37</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"_Toc61205039" </w:instrText>
          </w:r>
          <w:r>
            <w:fldChar w:fldCharType="separate"/>
          </w:r>
          <w:r>
            <w:rPr>
              <w:rStyle w:val="21"/>
              <w:sz w:val="28"/>
            </w:rPr>
            <w:t>（三）进口市场拓展工程</w:t>
          </w:r>
          <w:r>
            <w:rPr>
              <w:rStyle w:val="21"/>
              <w:sz w:val="28"/>
            </w:rPr>
            <w:tab/>
          </w:r>
          <w:r>
            <w:rPr>
              <w:rStyle w:val="21"/>
              <w:sz w:val="28"/>
            </w:rPr>
            <w:fldChar w:fldCharType="begin"/>
          </w:r>
          <w:r>
            <w:rPr>
              <w:rStyle w:val="21"/>
              <w:sz w:val="28"/>
            </w:rPr>
            <w:instrText xml:space="preserve"> PAGEREF _Toc61205039 \h </w:instrText>
          </w:r>
          <w:r>
            <w:rPr>
              <w:rStyle w:val="21"/>
              <w:sz w:val="28"/>
            </w:rPr>
            <w:fldChar w:fldCharType="separate"/>
          </w:r>
          <w:r>
            <w:rPr>
              <w:rStyle w:val="21"/>
              <w:sz w:val="28"/>
            </w:rPr>
            <w:t>39</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"_Toc61205040" </w:instrText>
          </w:r>
          <w:r>
            <w:fldChar w:fldCharType="separate"/>
          </w:r>
          <w:r>
            <w:rPr>
              <w:rStyle w:val="21"/>
              <w:sz w:val="28"/>
            </w:rPr>
            <w:t>（四）“走出去”拓市工程</w:t>
          </w:r>
          <w:r>
            <w:rPr>
              <w:rStyle w:val="21"/>
              <w:sz w:val="28"/>
            </w:rPr>
            <w:tab/>
          </w:r>
          <w:r>
            <w:rPr>
              <w:rStyle w:val="21"/>
              <w:sz w:val="28"/>
            </w:rPr>
            <w:fldChar w:fldCharType="begin"/>
          </w:r>
          <w:r>
            <w:rPr>
              <w:rStyle w:val="21"/>
              <w:sz w:val="28"/>
            </w:rPr>
            <w:instrText xml:space="preserve"> PAGEREF _Toc61205040 \h </w:instrText>
          </w:r>
          <w:r>
            <w:rPr>
              <w:rStyle w:val="21"/>
              <w:sz w:val="28"/>
            </w:rPr>
            <w:fldChar w:fldCharType="separate"/>
          </w:r>
          <w:r>
            <w:rPr>
              <w:rStyle w:val="21"/>
              <w:sz w:val="28"/>
            </w:rPr>
            <w:t>40</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"_Toc61205041" </w:instrText>
          </w:r>
          <w:r>
            <w:fldChar w:fldCharType="separate"/>
          </w:r>
          <w:r>
            <w:rPr>
              <w:rStyle w:val="21"/>
              <w:sz w:val="28"/>
            </w:rPr>
            <w:t>（五）民生市场精细化工程</w:t>
          </w:r>
          <w:r>
            <w:rPr>
              <w:rStyle w:val="21"/>
              <w:sz w:val="28"/>
            </w:rPr>
            <w:tab/>
          </w:r>
          <w:r>
            <w:rPr>
              <w:rStyle w:val="21"/>
              <w:sz w:val="28"/>
            </w:rPr>
            <w:fldChar w:fldCharType="begin"/>
          </w:r>
          <w:r>
            <w:rPr>
              <w:rStyle w:val="21"/>
              <w:sz w:val="28"/>
            </w:rPr>
            <w:instrText xml:space="preserve"> PAGEREF _Toc61205041 \h </w:instrText>
          </w:r>
          <w:r>
            <w:rPr>
              <w:rStyle w:val="21"/>
              <w:sz w:val="28"/>
            </w:rPr>
            <w:fldChar w:fldCharType="separate"/>
          </w:r>
          <w:r>
            <w:rPr>
              <w:rStyle w:val="21"/>
              <w:sz w:val="28"/>
            </w:rPr>
            <w:t>41</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"_Toc61205042" </w:instrText>
          </w:r>
          <w:r>
            <w:fldChar w:fldCharType="separate"/>
          </w:r>
          <w:r>
            <w:rPr>
              <w:rStyle w:val="21"/>
              <w:sz w:val="28"/>
            </w:rPr>
            <w:t>（六）经营主体竞争力提升工程</w:t>
          </w:r>
          <w:r>
            <w:rPr>
              <w:rStyle w:val="21"/>
              <w:sz w:val="28"/>
            </w:rPr>
            <w:tab/>
          </w:r>
          <w:r>
            <w:rPr>
              <w:rStyle w:val="21"/>
              <w:sz w:val="28"/>
            </w:rPr>
            <w:fldChar w:fldCharType="begin"/>
          </w:r>
          <w:r>
            <w:rPr>
              <w:rStyle w:val="21"/>
              <w:sz w:val="28"/>
            </w:rPr>
            <w:instrText xml:space="preserve"> PAGEREF _Toc61205042 \h </w:instrText>
          </w:r>
          <w:r>
            <w:rPr>
              <w:rStyle w:val="21"/>
              <w:sz w:val="28"/>
            </w:rPr>
            <w:fldChar w:fldCharType="separate"/>
          </w:r>
          <w:r>
            <w:rPr>
              <w:rStyle w:val="21"/>
              <w:sz w:val="28"/>
            </w:rPr>
            <w:t>42</w:t>
          </w:r>
          <w:r>
            <w:rPr>
              <w:rStyle w:val="21"/>
              <w:sz w:val="28"/>
            </w:rPr>
            <w:fldChar w:fldCharType="end"/>
          </w:r>
          <w:r>
            <w:rPr>
              <w:rStyle w:val="21"/>
              <w:sz w:val="28"/>
            </w:rPr>
            <w:fldChar w:fldCharType="end"/>
          </w:r>
        </w:p>
        <w:p>
          <w:pPr>
            <w:pStyle w:val="11"/>
            <w:rPr>
              <w:rStyle w:val="21"/>
              <w:sz w:val="32"/>
            </w:rPr>
          </w:pPr>
          <w:r>
            <w:fldChar w:fldCharType="begin"/>
          </w:r>
          <w:r>
            <w:instrText xml:space="preserve"> HYPERLINK \l "_Toc61205043" </w:instrText>
          </w:r>
          <w:r>
            <w:fldChar w:fldCharType="separate"/>
          </w:r>
          <w:r>
            <w:rPr>
              <w:rStyle w:val="21"/>
              <w:sz w:val="32"/>
            </w:rPr>
            <w:t>六、保障措施</w:t>
          </w:r>
          <w:r>
            <w:rPr>
              <w:rStyle w:val="21"/>
              <w:sz w:val="32"/>
            </w:rPr>
            <w:tab/>
          </w:r>
          <w:r>
            <w:rPr>
              <w:rStyle w:val="21"/>
              <w:sz w:val="32"/>
            </w:rPr>
            <w:fldChar w:fldCharType="begin"/>
          </w:r>
          <w:r>
            <w:rPr>
              <w:rStyle w:val="21"/>
              <w:sz w:val="32"/>
            </w:rPr>
            <w:instrText xml:space="preserve"> PAGEREF _Toc61205043 \h </w:instrText>
          </w:r>
          <w:r>
            <w:rPr>
              <w:rStyle w:val="21"/>
              <w:sz w:val="32"/>
            </w:rPr>
            <w:fldChar w:fldCharType="separate"/>
          </w:r>
          <w:r>
            <w:rPr>
              <w:rStyle w:val="21"/>
              <w:sz w:val="32"/>
            </w:rPr>
            <w:t>44</w:t>
          </w:r>
          <w:r>
            <w:rPr>
              <w:rStyle w:val="21"/>
              <w:sz w:val="32"/>
            </w:rPr>
            <w:fldChar w:fldCharType="end"/>
          </w:r>
          <w:r>
            <w:rPr>
              <w:rStyle w:val="21"/>
              <w:sz w:val="32"/>
            </w:rPr>
            <w:fldChar w:fldCharType="end"/>
          </w:r>
        </w:p>
        <w:p>
          <w:pPr>
            <w:pStyle w:val="12"/>
            <w:rPr>
              <w:rStyle w:val="21"/>
              <w:sz w:val="28"/>
            </w:rPr>
          </w:pPr>
          <w:r>
            <w:fldChar w:fldCharType="begin"/>
          </w:r>
          <w:r>
            <w:instrText xml:space="preserve"> HYPERLINK \l "_Toc61205044" </w:instrText>
          </w:r>
          <w:r>
            <w:fldChar w:fldCharType="separate"/>
          </w:r>
          <w:r>
            <w:rPr>
              <w:rStyle w:val="21"/>
              <w:sz w:val="28"/>
            </w:rPr>
            <w:t>（一）加强组织领导</w:t>
          </w:r>
          <w:r>
            <w:rPr>
              <w:rStyle w:val="21"/>
              <w:sz w:val="28"/>
            </w:rPr>
            <w:tab/>
          </w:r>
          <w:r>
            <w:rPr>
              <w:rStyle w:val="21"/>
              <w:sz w:val="28"/>
            </w:rPr>
            <w:fldChar w:fldCharType="begin"/>
          </w:r>
          <w:r>
            <w:rPr>
              <w:rStyle w:val="21"/>
              <w:sz w:val="28"/>
            </w:rPr>
            <w:instrText xml:space="preserve"> PAGEREF _Toc61205044 \h </w:instrText>
          </w:r>
          <w:r>
            <w:rPr>
              <w:rStyle w:val="21"/>
              <w:sz w:val="28"/>
            </w:rPr>
            <w:fldChar w:fldCharType="separate"/>
          </w:r>
          <w:r>
            <w:rPr>
              <w:rStyle w:val="21"/>
              <w:sz w:val="28"/>
            </w:rPr>
            <w:t>44</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"_Toc61205045" </w:instrText>
          </w:r>
          <w:r>
            <w:fldChar w:fldCharType="separate"/>
          </w:r>
          <w:r>
            <w:rPr>
              <w:rStyle w:val="21"/>
              <w:sz w:val="28"/>
            </w:rPr>
            <w:t>（二）严格任务跟踪</w:t>
          </w:r>
          <w:r>
            <w:rPr>
              <w:rStyle w:val="21"/>
              <w:sz w:val="28"/>
            </w:rPr>
            <w:tab/>
          </w:r>
          <w:r>
            <w:rPr>
              <w:rStyle w:val="21"/>
              <w:sz w:val="28"/>
            </w:rPr>
            <w:fldChar w:fldCharType="begin"/>
          </w:r>
          <w:r>
            <w:rPr>
              <w:rStyle w:val="21"/>
              <w:sz w:val="28"/>
            </w:rPr>
            <w:instrText xml:space="preserve"> PAGEREF _Toc61205045 \h </w:instrText>
          </w:r>
          <w:r>
            <w:rPr>
              <w:rStyle w:val="21"/>
              <w:sz w:val="28"/>
            </w:rPr>
            <w:fldChar w:fldCharType="separate"/>
          </w:r>
          <w:r>
            <w:rPr>
              <w:rStyle w:val="21"/>
              <w:sz w:val="28"/>
            </w:rPr>
            <w:t>44</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"_Toc61205046" </w:instrText>
          </w:r>
          <w:r>
            <w:fldChar w:fldCharType="separate"/>
          </w:r>
          <w:r>
            <w:rPr>
              <w:rStyle w:val="21"/>
              <w:sz w:val="28"/>
            </w:rPr>
            <w:t>（三）强化精准施策</w:t>
          </w:r>
          <w:r>
            <w:rPr>
              <w:rStyle w:val="21"/>
              <w:sz w:val="28"/>
            </w:rPr>
            <w:tab/>
          </w:r>
          <w:r>
            <w:rPr>
              <w:rStyle w:val="21"/>
              <w:sz w:val="28"/>
            </w:rPr>
            <w:fldChar w:fldCharType="begin"/>
          </w:r>
          <w:r>
            <w:rPr>
              <w:rStyle w:val="21"/>
              <w:sz w:val="28"/>
            </w:rPr>
            <w:instrText xml:space="preserve"> PAGEREF _Toc61205046 \h </w:instrText>
          </w:r>
          <w:r>
            <w:rPr>
              <w:rStyle w:val="21"/>
              <w:sz w:val="28"/>
            </w:rPr>
            <w:fldChar w:fldCharType="separate"/>
          </w:r>
          <w:r>
            <w:rPr>
              <w:rStyle w:val="21"/>
              <w:sz w:val="28"/>
            </w:rPr>
            <w:t>45</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"_Toc61205047" </w:instrText>
          </w:r>
          <w:r>
            <w:fldChar w:fldCharType="separate"/>
          </w:r>
          <w:r>
            <w:rPr>
              <w:rStyle w:val="21"/>
              <w:sz w:val="28"/>
            </w:rPr>
            <w:t>（四）加强要素保障</w:t>
          </w:r>
          <w:r>
            <w:rPr>
              <w:rStyle w:val="21"/>
              <w:sz w:val="28"/>
            </w:rPr>
            <w:tab/>
          </w:r>
          <w:r>
            <w:rPr>
              <w:rStyle w:val="21"/>
              <w:sz w:val="28"/>
            </w:rPr>
            <w:fldChar w:fldCharType="begin"/>
          </w:r>
          <w:r>
            <w:rPr>
              <w:rStyle w:val="21"/>
              <w:sz w:val="28"/>
            </w:rPr>
            <w:instrText xml:space="preserve"> PAGEREF _Toc61205047 \h </w:instrText>
          </w:r>
          <w:r>
            <w:rPr>
              <w:rStyle w:val="21"/>
              <w:sz w:val="28"/>
            </w:rPr>
            <w:fldChar w:fldCharType="separate"/>
          </w:r>
          <w:r>
            <w:rPr>
              <w:rStyle w:val="21"/>
              <w:sz w:val="28"/>
            </w:rPr>
            <w:t>45</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"_Toc61205048" </w:instrText>
          </w:r>
          <w:r>
            <w:fldChar w:fldCharType="separate"/>
          </w:r>
          <w:r>
            <w:rPr>
              <w:rStyle w:val="21"/>
              <w:sz w:val="28"/>
            </w:rPr>
            <w:t>（五）优化营商环境</w:t>
          </w:r>
          <w:r>
            <w:rPr>
              <w:rStyle w:val="21"/>
              <w:sz w:val="28"/>
            </w:rPr>
            <w:tab/>
          </w:r>
          <w:r>
            <w:rPr>
              <w:rStyle w:val="21"/>
              <w:sz w:val="28"/>
            </w:rPr>
            <w:fldChar w:fldCharType="begin"/>
          </w:r>
          <w:r>
            <w:rPr>
              <w:rStyle w:val="21"/>
              <w:sz w:val="28"/>
            </w:rPr>
            <w:instrText xml:space="preserve"> PAGEREF _Toc61205048 \h </w:instrText>
          </w:r>
          <w:r>
            <w:rPr>
              <w:rStyle w:val="21"/>
              <w:sz w:val="28"/>
            </w:rPr>
            <w:fldChar w:fldCharType="separate"/>
          </w:r>
          <w:r>
            <w:rPr>
              <w:rStyle w:val="21"/>
              <w:sz w:val="28"/>
            </w:rPr>
            <w:t>45</w:t>
          </w:r>
          <w:r>
            <w:rPr>
              <w:rStyle w:val="21"/>
              <w:sz w:val="28"/>
            </w:rPr>
            <w:fldChar w:fldCharType="end"/>
          </w:r>
          <w:r>
            <w:rPr>
              <w:rStyle w:val="21"/>
              <w:sz w:val="28"/>
            </w:rPr>
            <w:fldChar w:fldCharType="end"/>
          </w:r>
        </w:p>
        <w:p>
          <w:pPr>
            <w:pStyle w:val="7"/>
          </w:pPr>
          <w:r>
            <w:rPr>
              <w:sz w:val="72"/>
              <w:szCs w:val="72"/>
              <w:lang w:val="zh-CN"/>
            </w:rPr>
            <w:fldChar w:fldCharType="end"/>
          </w:r>
        </w:p>
      </w:sdtContent>
    </w:sdt>
    <w:p>
      <w:pPr>
        <w:widowControl/>
        <w:jc w:val="left"/>
        <w:rPr>
          <w:rFonts w:ascii="仿宋_GB2312" w:hAnsi="仿宋" w:eastAsia="仿宋_GB2312"/>
          <w:sz w:val="32"/>
          <w:szCs w:val="32"/>
        </w:rPr>
        <w:sectPr>
          <w:pgSz w:w="11906" w:h="16838"/>
          <w:pgMar w:top="1440" w:right="1800" w:bottom="1440" w:left="1800" w:header="851" w:footer="992" w:gutter="0"/>
          <w:pgNumType w:fmt="upperRoman" w:start="1"/>
          <w:cols w:space="425" w:num="1"/>
          <w:docGrid w:type="lines" w:linePitch="312" w:charSpace="0"/>
        </w:sectPr>
      </w:pPr>
      <w:bookmarkStart w:id="2" w:name="_Toc59151843"/>
      <w:bookmarkStart w:id="3" w:name="_Toc58739896"/>
      <w:bookmarkStart w:id="4" w:name="_Toc60416648"/>
      <w:r>
        <w:rPr>
          <w:rFonts w:ascii="仿宋_GB2312" w:hAnsi="仿宋" w:eastAsia="仿宋_GB2312"/>
          <w:sz w:val="32"/>
          <w:szCs w:val="32"/>
        </w:rPr>
        <w:br w:type="page"/>
      </w:r>
    </w:p>
    <w:p>
      <w:pPr>
        <w:snapToGrid w:val="0"/>
        <w:spacing w:line="580" w:lineRule="exact"/>
        <w:ind w:firstLine="640" w:firstLineChars="200"/>
        <w:rPr>
          <w:rFonts w:ascii="仿宋_GB2312" w:hAnsi="仿宋" w:eastAsia="仿宋_GB2312"/>
          <w:sz w:val="32"/>
          <w:szCs w:val="32"/>
        </w:rPr>
      </w:pPr>
    </w:p>
    <w:p>
      <w:pPr>
        <w:pStyle w:val="2"/>
        <w:spacing w:before="120" w:after="120" w:line="660" w:lineRule="exact"/>
        <w:ind w:firstLine="720" w:firstLineChars="200"/>
        <w:jc w:val="center"/>
        <w:rPr>
          <w:rFonts w:ascii="黑体" w:hAnsi="黑体" w:eastAsia="黑体" w:cs="Times New Roman"/>
          <w:b w:val="0"/>
          <w:sz w:val="36"/>
          <w:szCs w:val="36"/>
        </w:rPr>
      </w:pPr>
      <w:bookmarkStart w:id="5" w:name="_Toc59151841"/>
      <w:bookmarkStart w:id="6" w:name="_Toc58739894"/>
      <w:bookmarkStart w:id="7" w:name="_Toc61205000"/>
      <w:r>
        <w:rPr>
          <w:rFonts w:hint="eastAsia" w:ascii="黑体" w:hAnsi="黑体" w:eastAsia="黑体" w:cs="Times New Roman"/>
          <w:b w:val="0"/>
          <w:sz w:val="36"/>
          <w:szCs w:val="36"/>
        </w:rPr>
        <w:t xml:space="preserve">前 </w:t>
      </w:r>
      <w:r>
        <w:rPr>
          <w:rFonts w:ascii="黑体" w:hAnsi="黑体" w:eastAsia="黑体" w:cs="Times New Roman"/>
          <w:b w:val="0"/>
          <w:sz w:val="36"/>
          <w:szCs w:val="36"/>
        </w:rPr>
        <w:t xml:space="preserve"> </w:t>
      </w:r>
      <w:r>
        <w:rPr>
          <w:rFonts w:hint="eastAsia" w:ascii="黑体" w:hAnsi="黑体" w:eastAsia="黑体" w:cs="Times New Roman"/>
          <w:b w:val="0"/>
          <w:sz w:val="36"/>
          <w:szCs w:val="36"/>
        </w:rPr>
        <w:t>言</w:t>
      </w:r>
      <w:bookmarkEnd w:id="5"/>
      <w:bookmarkEnd w:id="6"/>
      <w:bookmarkEnd w:id="7"/>
    </w:p>
    <w:p>
      <w:pPr>
        <w:snapToGrid w:val="0"/>
        <w:spacing w:line="580" w:lineRule="exact"/>
        <w:ind w:firstLine="640" w:firstLineChars="200"/>
        <w:rPr>
          <w:rFonts w:ascii="仿宋" w:hAnsi="仿宋" w:eastAsia="仿宋"/>
          <w:sz w:val="32"/>
          <w:szCs w:val="32"/>
        </w:rPr>
      </w:pPr>
      <w:r>
        <w:rPr>
          <w:rFonts w:hint="cs" w:ascii="仿宋" w:hAnsi="仿宋" w:eastAsia="仿宋"/>
          <w:sz w:val="32"/>
          <w:szCs w:val="32"/>
        </w:rPr>
        <w:t>“</w:t>
      </w:r>
      <w:r>
        <w:rPr>
          <w:rFonts w:hint="eastAsia" w:ascii="仿宋" w:hAnsi="仿宋" w:eastAsia="仿宋"/>
          <w:sz w:val="32"/>
          <w:szCs w:val="32"/>
        </w:rPr>
        <w:t>十四五</w:t>
      </w:r>
      <w:r>
        <w:rPr>
          <w:rFonts w:hint="cs" w:ascii="仿宋" w:hAnsi="仿宋" w:eastAsia="仿宋"/>
          <w:sz w:val="32"/>
          <w:szCs w:val="32"/>
        </w:rPr>
        <w:t>”</w:t>
      </w:r>
      <w:r>
        <w:rPr>
          <w:rFonts w:hint="eastAsia" w:ascii="仿宋" w:hAnsi="仿宋" w:eastAsia="仿宋"/>
          <w:sz w:val="32"/>
          <w:szCs w:val="32"/>
        </w:rPr>
        <w:t>时期是义乌全面建成世界</w:t>
      </w:r>
      <w:r>
        <w:rPr>
          <w:rFonts w:hint="cs" w:ascii="仿宋" w:hAnsi="仿宋" w:eastAsia="仿宋"/>
          <w:sz w:val="32"/>
          <w:szCs w:val="32"/>
        </w:rPr>
        <w:t>“</w:t>
      </w:r>
      <w:r>
        <w:rPr>
          <w:rFonts w:hint="eastAsia" w:ascii="仿宋" w:hAnsi="仿宋" w:eastAsia="仿宋"/>
          <w:sz w:val="32"/>
          <w:szCs w:val="32"/>
        </w:rPr>
        <w:t>小商品之都</w:t>
      </w:r>
      <w:r>
        <w:rPr>
          <w:rFonts w:hint="cs" w:ascii="仿宋" w:hAnsi="仿宋" w:eastAsia="仿宋"/>
          <w:sz w:val="32"/>
          <w:szCs w:val="32"/>
        </w:rPr>
        <w:t>”</w:t>
      </w:r>
      <w:r>
        <w:rPr>
          <w:rFonts w:hint="eastAsia" w:ascii="仿宋" w:hAnsi="仿宋" w:eastAsia="仿宋"/>
          <w:sz w:val="32"/>
          <w:szCs w:val="32"/>
        </w:rPr>
        <w:t>的战略决胜期，也是打造对外开放升级版和构建内外双循环市场体系的启动和推进期，更是深入推进</w:t>
      </w:r>
      <w:r>
        <w:rPr>
          <w:rFonts w:hint="cs" w:ascii="仿宋" w:hAnsi="仿宋" w:eastAsia="仿宋"/>
          <w:sz w:val="32"/>
          <w:szCs w:val="32"/>
        </w:rPr>
        <w:t>“</w:t>
      </w:r>
      <w:r>
        <w:rPr>
          <w:rFonts w:hint="eastAsia" w:ascii="仿宋" w:hAnsi="仿宋" w:eastAsia="仿宋"/>
          <w:sz w:val="32"/>
          <w:szCs w:val="32"/>
        </w:rPr>
        <w:t>第六代市场</w:t>
      </w:r>
      <w:r>
        <w:rPr>
          <w:rFonts w:hint="cs" w:ascii="仿宋" w:hAnsi="仿宋" w:eastAsia="仿宋"/>
          <w:sz w:val="32"/>
          <w:szCs w:val="32"/>
        </w:rPr>
        <w:t>”“</w:t>
      </w:r>
      <w:r>
        <w:rPr>
          <w:rFonts w:hint="eastAsia" w:ascii="仿宋" w:hAnsi="仿宋" w:eastAsia="仿宋"/>
          <w:sz w:val="32"/>
          <w:szCs w:val="32"/>
        </w:rPr>
        <w:t>自贸试验区</w:t>
      </w:r>
      <w:r>
        <w:rPr>
          <w:rFonts w:hint="cs" w:ascii="仿宋" w:hAnsi="仿宋" w:eastAsia="仿宋"/>
          <w:sz w:val="32"/>
          <w:szCs w:val="32"/>
        </w:rPr>
        <w:t>”</w:t>
      </w:r>
      <w:r>
        <w:rPr>
          <w:rFonts w:hint="eastAsia" w:ascii="仿宋" w:hAnsi="仿宋" w:eastAsia="仿宋"/>
          <w:sz w:val="32"/>
          <w:szCs w:val="32"/>
        </w:rPr>
        <w:t>建设的重要时期。义乌市场转型升级既要保持</w:t>
      </w:r>
      <w:r>
        <w:rPr>
          <w:rFonts w:hint="cs" w:ascii="仿宋" w:hAnsi="仿宋" w:eastAsia="仿宋"/>
          <w:sz w:val="32"/>
          <w:szCs w:val="32"/>
        </w:rPr>
        <w:t>“</w:t>
      </w:r>
      <w:r>
        <w:rPr>
          <w:rFonts w:hint="eastAsia" w:ascii="仿宋" w:hAnsi="仿宋" w:eastAsia="仿宋"/>
          <w:sz w:val="32"/>
          <w:szCs w:val="32"/>
        </w:rPr>
        <w:t>较高速度</w:t>
      </w:r>
      <w:r>
        <w:rPr>
          <w:rFonts w:hint="cs" w:ascii="仿宋" w:hAnsi="仿宋" w:eastAsia="仿宋"/>
          <w:sz w:val="32"/>
          <w:szCs w:val="32"/>
        </w:rPr>
        <w:t>”</w:t>
      </w:r>
      <w:r>
        <w:rPr>
          <w:rFonts w:hint="eastAsia" w:ascii="仿宋" w:hAnsi="仿宋" w:eastAsia="仿宋"/>
          <w:sz w:val="32"/>
          <w:szCs w:val="32"/>
        </w:rPr>
        <w:t>，又要面向</w:t>
      </w:r>
      <w:r>
        <w:rPr>
          <w:rFonts w:hint="cs" w:ascii="仿宋" w:hAnsi="仿宋" w:eastAsia="仿宋"/>
          <w:sz w:val="32"/>
          <w:szCs w:val="32"/>
        </w:rPr>
        <w:t>“</w:t>
      </w:r>
      <w:r>
        <w:rPr>
          <w:rFonts w:hint="eastAsia" w:ascii="仿宋" w:hAnsi="仿宋" w:eastAsia="仿宋"/>
          <w:sz w:val="32"/>
          <w:szCs w:val="32"/>
        </w:rPr>
        <w:t>更高质量</w:t>
      </w:r>
      <w:r>
        <w:rPr>
          <w:rFonts w:hint="cs" w:ascii="仿宋" w:hAnsi="仿宋" w:eastAsia="仿宋"/>
          <w:sz w:val="32"/>
          <w:szCs w:val="32"/>
        </w:rPr>
        <w:t>”</w:t>
      </w:r>
      <w:r>
        <w:rPr>
          <w:rFonts w:hint="eastAsia" w:ascii="仿宋" w:hAnsi="仿宋" w:eastAsia="仿宋"/>
          <w:sz w:val="32"/>
          <w:szCs w:val="32"/>
        </w:rPr>
        <w:t>，持续做强</w:t>
      </w:r>
      <w:r>
        <w:rPr>
          <w:rFonts w:hint="cs" w:ascii="仿宋" w:hAnsi="仿宋" w:eastAsia="仿宋"/>
          <w:sz w:val="32"/>
          <w:szCs w:val="32"/>
        </w:rPr>
        <w:t>“</w:t>
      </w:r>
      <w:r>
        <w:rPr>
          <w:rFonts w:hint="eastAsia" w:ascii="仿宋" w:hAnsi="仿宋" w:eastAsia="仿宋"/>
          <w:sz w:val="32"/>
          <w:szCs w:val="32"/>
        </w:rPr>
        <w:t>国际循环</w:t>
      </w:r>
      <w:r>
        <w:rPr>
          <w:rFonts w:hint="cs" w:ascii="仿宋" w:hAnsi="仿宋" w:eastAsia="仿宋"/>
          <w:sz w:val="32"/>
          <w:szCs w:val="32"/>
        </w:rPr>
        <w:t>”</w:t>
      </w:r>
      <w:r>
        <w:rPr>
          <w:rFonts w:hint="eastAsia" w:ascii="仿宋" w:hAnsi="仿宋" w:eastAsia="仿宋"/>
          <w:sz w:val="32"/>
          <w:szCs w:val="32"/>
        </w:rPr>
        <w:t>、做实</w:t>
      </w:r>
      <w:r>
        <w:rPr>
          <w:rFonts w:hint="cs" w:ascii="仿宋" w:hAnsi="仿宋" w:eastAsia="仿宋"/>
          <w:sz w:val="32"/>
          <w:szCs w:val="32"/>
        </w:rPr>
        <w:t>“</w:t>
      </w:r>
      <w:r>
        <w:rPr>
          <w:rFonts w:hint="eastAsia" w:ascii="仿宋" w:hAnsi="仿宋" w:eastAsia="仿宋"/>
          <w:sz w:val="32"/>
          <w:szCs w:val="32"/>
        </w:rPr>
        <w:t>国内循环</w:t>
      </w:r>
      <w:r>
        <w:rPr>
          <w:rFonts w:hint="cs" w:ascii="仿宋" w:hAnsi="仿宋" w:eastAsia="仿宋"/>
          <w:sz w:val="32"/>
          <w:szCs w:val="32"/>
        </w:rPr>
        <w:t>”</w:t>
      </w:r>
      <w:r>
        <w:rPr>
          <w:rFonts w:hint="eastAsia" w:ascii="仿宋" w:hAnsi="仿宋" w:eastAsia="仿宋"/>
          <w:sz w:val="32"/>
          <w:szCs w:val="32"/>
        </w:rPr>
        <w:t>，进一步从</w:t>
      </w:r>
      <w:r>
        <w:rPr>
          <w:rFonts w:hint="cs" w:ascii="仿宋" w:hAnsi="仿宋" w:eastAsia="仿宋"/>
          <w:sz w:val="32"/>
          <w:szCs w:val="32"/>
        </w:rPr>
        <w:t>“</w:t>
      </w:r>
      <w:r>
        <w:rPr>
          <w:rFonts w:hint="eastAsia" w:ascii="仿宋" w:hAnsi="仿宋" w:eastAsia="仿宋"/>
          <w:sz w:val="32"/>
          <w:szCs w:val="32"/>
        </w:rPr>
        <w:t>买全球，卖全球，买卖全球</w:t>
      </w:r>
      <w:r>
        <w:rPr>
          <w:rFonts w:hint="cs" w:ascii="仿宋" w:hAnsi="仿宋" w:eastAsia="仿宋"/>
          <w:sz w:val="32"/>
          <w:szCs w:val="32"/>
        </w:rPr>
        <w:t>”</w:t>
      </w:r>
      <w:r>
        <w:rPr>
          <w:rFonts w:hint="eastAsia" w:ascii="仿宋" w:hAnsi="仿宋" w:eastAsia="仿宋"/>
          <w:sz w:val="32"/>
          <w:szCs w:val="32"/>
        </w:rPr>
        <w:t>向自由贸易</w:t>
      </w:r>
      <w:r>
        <w:rPr>
          <w:rFonts w:hint="cs" w:ascii="仿宋" w:hAnsi="仿宋" w:eastAsia="仿宋"/>
          <w:sz w:val="32"/>
          <w:szCs w:val="32"/>
        </w:rPr>
        <w:t>“</w:t>
      </w:r>
      <w:r>
        <w:rPr>
          <w:rFonts w:hint="eastAsia" w:ascii="仿宋" w:hAnsi="仿宋" w:eastAsia="仿宋"/>
          <w:sz w:val="32"/>
          <w:szCs w:val="32"/>
        </w:rPr>
        <w:t>特区</w:t>
      </w:r>
      <w:r>
        <w:rPr>
          <w:rFonts w:hint="cs" w:ascii="仿宋" w:hAnsi="仿宋" w:eastAsia="仿宋"/>
          <w:sz w:val="32"/>
          <w:szCs w:val="32"/>
        </w:rPr>
        <w:t>”</w:t>
      </w:r>
      <w:r>
        <w:rPr>
          <w:rFonts w:hint="eastAsia" w:ascii="仿宋" w:hAnsi="仿宋" w:eastAsia="仿宋"/>
          <w:sz w:val="32"/>
          <w:szCs w:val="32"/>
        </w:rPr>
        <w:t>转变，努力成为服务国内大循环的市场标杆，连接国外大循环的开放枢纽和联通国内国际双循环的商贸节点，逐步实现从全球小商品交易中心向全球小商品供应链中心、国际小商品自由贸易中心的转变，争当</w:t>
      </w:r>
      <w:r>
        <w:rPr>
          <w:rFonts w:hint="cs" w:ascii="仿宋" w:hAnsi="仿宋" w:eastAsia="仿宋"/>
          <w:sz w:val="32"/>
          <w:szCs w:val="32"/>
        </w:rPr>
        <w:t>“</w:t>
      </w:r>
      <w:r>
        <w:rPr>
          <w:rFonts w:hint="eastAsia" w:ascii="仿宋" w:hAnsi="仿宋" w:eastAsia="仿宋"/>
          <w:sz w:val="32"/>
          <w:szCs w:val="32"/>
        </w:rPr>
        <w:t>重要窗口</w:t>
      </w:r>
      <w:r>
        <w:rPr>
          <w:rFonts w:hint="cs" w:ascii="仿宋" w:hAnsi="仿宋" w:eastAsia="仿宋"/>
          <w:sz w:val="32"/>
          <w:szCs w:val="32"/>
        </w:rPr>
        <w:t>”</w:t>
      </w:r>
      <w:r>
        <w:rPr>
          <w:rFonts w:hint="eastAsia" w:ascii="仿宋" w:hAnsi="仿宋" w:eastAsia="仿宋"/>
          <w:sz w:val="32"/>
          <w:szCs w:val="32"/>
        </w:rPr>
        <w:t>模范生，朝着高质量高水平建成世界</w:t>
      </w:r>
      <w:r>
        <w:rPr>
          <w:rFonts w:hint="cs" w:ascii="仿宋" w:hAnsi="仿宋" w:eastAsia="仿宋"/>
          <w:sz w:val="32"/>
          <w:szCs w:val="32"/>
        </w:rPr>
        <w:t>“</w:t>
      </w:r>
      <w:r>
        <w:rPr>
          <w:rFonts w:hint="eastAsia" w:ascii="仿宋" w:hAnsi="仿宋" w:eastAsia="仿宋"/>
          <w:sz w:val="32"/>
          <w:szCs w:val="32"/>
        </w:rPr>
        <w:t>小商品之都</w:t>
      </w:r>
      <w:r>
        <w:rPr>
          <w:rFonts w:hint="cs" w:ascii="仿宋" w:hAnsi="仿宋" w:eastAsia="仿宋"/>
          <w:sz w:val="32"/>
          <w:szCs w:val="32"/>
        </w:rPr>
        <w:t>”</w:t>
      </w:r>
      <w:r>
        <w:rPr>
          <w:rFonts w:hint="eastAsia" w:ascii="仿宋" w:hAnsi="仿宋" w:eastAsia="仿宋"/>
          <w:sz w:val="32"/>
          <w:szCs w:val="32"/>
        </w:rPr>
        <w:t>的目标奋勇迈进。</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本规划根据《中国（浙江）自由贸易试验区扩展区域方案》和《中共义乌市委关于制定义乌市国民经济和社会发展第十四个五年规划和二〇三五年远景目标的建议》等编制。本规划是在国际市场环境发生深刻变化、国家推动形成双循环新格局、义乌市场发展进入新阶段等背景下，谋划编制的义乌市场转型升级的纲领性文件。</w:t>
      </w:r>
    </w:p>
    <w:p>
      <w:pPr>
        <w:widowControl/>
        <w:jc w:val="left"/>
        <w:rPr>
          <w:rFonts w:ascii="仿宋" w:hAnsi="仿宋" w:eastAsia="仿宋"/>
          <w:sz w:val="32"/>
          <w:szCs w:val="32"/>
        </w:rPr>
      </w:pPr>
      <w:r>
        <w:rPr>
          <w:rFonts w:ascii="仿宋" w:hAnsi="仿宋" w:eastAsia="仿宋"/>
          <w:sz w:val="32"/>
          <w:szCs w:val="32"/>
        </w:rPr>
        <w:br w:type="page"/>
      </w:r>
    </w:p>
    <w:p>
      <w:pPr>
        <w:pStyle w:val="2"/>
        <w:spacing w:before="120" w:after="120" w:line="660" w:lineRule="exact"/>
        <w:ind w:firstLine="720" w:firstLineChars="200"/>
        <w:rPr>
          <w:rFonts w:ascii="黑体" w:hAnsi="黑体" w:eastAsia="黑体" w:cs="Times New Roman"/>
          <w:b w:val="0"/>
          <w:sz w:val="36"/>
          <w:szCs w:val="36"/>
        </w:rPr>
      </w:pPr>
      <w:bookmarkStart w:id="8" w:name="_Toc51886295"/>
      <w:bookmarkStart w:id="9" w:name="_Toc59151842"/>
      <w:bookmarkStart w:id="10" w:name="_Toc58739895"/>
      <w:bookmarkStart w:id="11" w:name="_Toc61205001"/>
      <w:bookmarkStart w:id="12" w:name="_Hlk58899555"/>
      <w:r>
        <w:rPr>
          <w:rFonts w:hint="eastAsia" w:ascii="黑体" w:hAnsi="黑体" w:eastAsia="黑体" w:cs="Times New Roman"/>
          <w:b w:val="0"/>
          <w:sz w:val="36"/>
          <w:szCs w:val="36"/>
        </w:rPr>
        <w:t>一、</w:t>
      </w:r>
      <w:bookmarkEnd w:id="8"/>
      <w:bookmarkEnd w:id="9"/>
      <w:bookmarkEnd w:id="10"/>
      <w:r>
        <w:rPr>
          <w:rFonts w:hint="eastAsia" w:ascii="黑体" w:hAnsi="黑体" w:eastAsia="黑体" w:cs="Times New Roman"/>
          <w:b w:val="0"/>
          <w:sz w:val="36"/>
          <w:szCs w:val="36"/>
        </w:rPr>
        <w:t>发展基础</w:t>
      </w:r>
      <w:bookmarkEnd w:id="11"/>
    </w:p>
    <w:bookmarkEnd w:id="12"/>
    <w:p>
      <w:pPr>
        <w:pStyle w:val="3"/>
        <w:spacing w:before="120" w:after="120" w:line="560" w:lineRule="exact"/>
        <w:ind w:firstLine="643" w:firstLineChars="200"/>
        <w:rPr>
          <w:rFonts w:ascii="楷体_GB2312" w:eastAsia="楷体_GB2312"/>
          <w:bCs w:val="0"/>
          <w:kern w:val="0"/>
          <w:szCs w:val="20"/>
        </w:rPr>
      </w:pPr>
      <w:bookmarkStart w:id="13" w:name="_Toc61205002"/>
      <w:r>
        <w:rPr>
          <w:rFonts w:hint="eastAsia" w:ascii="楷体_GB2312" w:eastAsia="楷体_GB2312"/>
          <w:bCs w:val="0"/>
          <w:kern w:val="0"/>
          <w:szCs w:val="20"/>
        </w:rPr>
        <w:t>（一）发展</w:t>
      </w:r>
      <w:bookmarkEnd w:id="2"/>
      <w:bookmarkEnd w:id="3"/>
      <w:r>
        <w:rPr>
          <w:rFonts w:hint="eastAsia" w:ascii="楷体_GB2312" w:eastAsia="楷体_GB2312"/>
          <w:bCs w:val="0"/>
          <w:kern w:val="0"/>
          <w:szCs w:val="20"/>
        </w:rPr>
        <w:t>成效</w:t>
      </w:r>
      <w:bookmarkEnd w:id="13"/>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三五”以来，国内外宏观经贸环境变化加剧，义乌紧紧围绕习近习总书记对义乌世界“小商品之都”的战略定位，积极参与“一带一路”建设，拓展外贸市场，抢抓现代流通体系和统一国内大市场建设，提升内贸市场发展能级。积极应对错综复杂的国内外环境挑战，在市场发展领域坚持进口市场与出口市场相协调，线上市场与线下市场相融合，取得明显成效。</w:t>
      </w:r>
      <w:bookmarkStart w:id="14" w:name="_Toc51886296"/>
    </w:p>
    <w:bookmarkEnd w:id="14"/>
    <w:p>
      <w:pPr>
        <w:snapToGrid w:val="0"/>
        <w:spacing w:line="580" w:lineRule="exact"/>
        <w:ind w:firstLine="643" w:firstLineChars="200"/>
        <w:rPr>
          <w:rFonts w:ascii="仿宋" w:hAnsi="仿宋" w:eastAsia="仿宋"/>
          <w:sz w:val="32"/>
          <w:szCs w:val="32"/>
        </w:rPr>
      </w:pPr>
      <w:bookmarkStart w:id="15" w:name="_Toc51886297"/>
      <w:r>
        <w:rPr>
          <w:rFonts w:hint="eastAsia" w:ascii="仿宋" w:hAnsi="仿宋" w:eastAsia="仿宋" w:cs="宋体"/>
          <w:b/>
          <w:sz w:val="32"/>
          <w:szCs w:val="20"/>
        </w:rPr>
        <w:t>经营规模不断扩大。</w:t>
      </w:r>
      <w:r>
        <w:rPr>
          <w:rFonts w:hint="eastAsia" w:ascii="仿宋" w:hAnsi="仿宋" w:eastAsia="仿宋"/>
          <w:sz w:val="32"/>
          <w:szCs w:val="32"/>
        </w:rPr>
        <w:t>“十三五”期间，小商品市场交易额突破4500亿元。集贸市场成交额从1371.7亿元增长至1779.5亿元，年均增长9.1%；其中中国小商品城成交额由1105.8亿元增长至1537.4亿元，年均增长11.6%。市场集聚能力增强，汇集了20余万家日用消费品生产企业的210万种商品，成为中国制造链接全球市场的重要门户。“十三五”期间，市场新增小商品配送、宠物用品、假发、水族用品、酒店用品、创意装饰（软装）、塑料粒子等行业，交易品类更加丰富。商品提质升级步伐加快, 知识产权保护意识不断增强，品牌化、中档化趋势更加明显，产品个性化定制趋势增强，IP授权类产品异军突起，标准进市场助推产品向高端化发展，全市商标有效注册量突破1</w:t>
      </w:r>
      <w:r>
        <w:rPr>
          <w:rFonts w:ascii="仿宋" w:hAnsi="仿宋" w:eastAsia="仿宋"/>
          <w:sz w:val="32"/>
          <w:szCs w:val="32"/>
        </w:rPr>
        <w:t>6</w:t>
      </w:r>
      <w:r>
        <w:rPr>
          <w:rFonts w:hint="eastAsia" w:ascii="仿宋" w:hAnsi="仿宋" w:eastAsia="仿宋"/>
          <w:sz w:val="32"/>
          <w:szCs w:val="32"/>
        </w:rPr>
        <w:t>万件，较“十二五”末期增长一倍</w:t>
      </w:r>
      <w:r>
        <w:rPr>
          <w:rFonts w:hint="eastAsia" w:ascii="仿宋" w:hAnsi="仿宋" w:eastAsia="仿宋" w:cs="仿宋_GB2312"/>
          <w:sz w:val="32"/>
          <w:szCs w:val="32"/>
        </w:rPr>
        <w:t>。</w:t>
      </w:r>
      <w:r>
        <w:rPr>
          <w:rFonts w:hint="eastAsia" w:ascii="仿宋" w:hAnsi="仿宋" w:eastAsia="仿宋"/>
          <w:sz w:val="32"/>
          <w:szCs w:val="32"/>
        </w:rPr>
        <w:t>疫情背景下，义乌市场是全国最先复市的市场之一，李克强总理视频连线义乌市场，肯定市场复市，勉励义乌在满足国内市场需求、保持国际市场份额上打头阵。</w:t>
      </w:r>
    </w:p>
    <w:p>
      <w:pPr>
        <w:snapToGrid w:val="0"/>
        <w:spacing w:line="580" w:lineRule="exact"/>
        <w:rPr>
          <w:rFonts w:ascii="仿宋_GB2312" w:eastAsia="仿宋_GB2312"/>
          <w:sz w:val="32"/>
          <w:szCs w:val="32"/>
        </w:rPr>
      </w:pPr>
    </w:p>
    <w:p>
      <w:pPr>
        <w:spacing w:line="360" w:lineRule="auto"/>
        <w:jc w:val="center"/>
        <w:rPr>
          <w:rFonts w:ascii="黑体" w:hAnsi="黑体" w:eastAsia="黑体"/>
          <w:sz w:val="28"/>
          <w:szCs w:val="28"/>
        </w:rPr>
      </w:pPr>
      <w:r>
        <w:drawing>
          <wp:inline distT="0" distB="0" distL="0" distR="0">
            <wp:extent cx="5278120" cy="3078480"/>
            <wp:effectExtent l="0" t="0" r="17780" b="762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5"/>
    </w:p>
    <w:p>
      <w:pPr>
        <w:snapToGrid w:val="0"/>
        <w:spacing w:line="58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图1</w:t>
      </w:r>
      <w:r>
        <w:rPr>
          <w:rFonts w:ascii="黑体" w:hAnsi="黑体" w:eastAsia="黑体"/>
          <w:color w:val="000000" w:themeColor="text1"/>
          <w:sz w:val="28"/>
          <w:szCs w:val="28"/>
        </w:rPr>
        <w:t xml:space="preserve"> “十三五”期间义乌市场成交额情况</w:t>
      </w:r>
    </w:p>
    <w:p>
      <w:pPr>
        <w:snapToGrid w:val="0"/>
        <w:spacing w:line="580" w:lineRule="exact"/>
        <w:ind w:firstLine="640" w:firstLineChars="200"/>
        <w:rPr>
          <w:rFonts w:ascii="仿宋_GB2312" w:eastAsia="仿宋_GB2312"/>
          <w:sz w:val="32"/>
          <w:szCs w:val="32"/>
        </w:rPr>
      </w:pPr>
    </w:p>
    <w:p>
      <w:pPr>
        <w:snapToGrid w:val="0"/>
        <w:spacing w:line="580" w:lineRule="exact"/>
        <w:ind w:firstLine="643" w:firstLineChars="200"/>
        <w:rPr>
          <w:rFonts w:ascii="仿宋" w:hAnsi="仿宋" w:eastAsia="仿宋"/>
          <w:b/>
          <w:sz w:val="32"/>
          <w:szCs w:val="32"/>
        </w:rPr>
      </w:pPr>
      <w:r>
        <w:rPr>
          <w:rFonts w:hint="eastAsia" w:ascii="仿宋" w:hAnsi="仿宋" w:eastAsia="仿宋" w:cs="宋体"/>
          <w:b/>
          <w:sz w:val="32"/>
          <w:szCs w:val="20"/>
        </w:rPr>
        <w:t>市场布局逐步完善。</w:t>
      </w:r>
      <w:r>
        <w:rPr>
          <w:rFonts w:hint="eastAsia" w:ascii="仿宋" w:hAnsi="仿宋" w:eastAsia="仿宋"/>
          <w:sz w:val="32"/>
          <w:szCs w:val="32"/>
        </w:rPr>
        <w:t>出口和进口转口市场板块基本确定。出口板块约 11.2 平方公里，主要依托国际商贸城、金融商务区、义乌港等，推动外贸市场创新发展，全面提升义乌小商品在全球的核心竞争力。2016年3月，以经营饰品及配件为主的国际商贸城一区东市场开业；2017年8月，国际商贸城五区进口商品馆获中国商业联合会授牌更名为“义乌中国进口商品城”。进口转口板块约15.8平方公里，主要依托义乌综合保税区、铁路口岸、航空口岸、国际邮件互换局等开放平台，创新打造新型进口市场，发展跨境电商、现代物流等产业。2019年11月，义乌进口商品城孵化区完成改造并开业，2020年11月，义乌进口商品城孵化区数字围网试验区启用。浙中农副产品物流中心、义乌模具城二期、义乌汽车交易中心建成投用。2020年制定“十四五”期间民生市场布局方案，建设义乌国际家居城（四期）、义乌模具城（三期）、义乌农产品交易中心、义乌建材交易中心等四个市场项目。“十三五”期间新增市场建筑面积</w:t>
      </w:r>
      <w:r>
        <w:rPr>
          <w:rFonts w:ascii="仿宋" w:hAnsi="仿宋" w:eastAsia="仿宋"/>
          <w:sz w:val="32"/>
          <w:szCs w:val="32"/>
        </w:rPr>
        <w:t>85</w:t>
      </w:r>
      <w:r>
        <w:rPr>
          <w:rFonts w:hint="eastAsia" w:ascii="仿宋" w:hAnsi="仿宋" w:eastAsia="仿宋"/>
          <w:sz w:val="32"/>
          <w:szCs w:val="32"/>
        </w:rPr>
        <w:t>万平方米，新增商位2896个，市场经营主体3494户。</w:t>
      </w:r>
    </w:p>
    <w:p>
      <w:pPr>
        <w:snapToGrid w:val="0"/>
        <w:spacing w:line="580" w:lineRule="exact"/>
        <w:ind w:firstLine="643" w:firstLineChars="200"/>
        <w:rPr>
          <w:rFonts w:ascii="仿宋_GB2312" w:hAnsi="仿宋" w:eastAsia="仿宋_GB2312"/>
          <w:b/>
          <w:sz w:val="32"/>
          <w:szCs w:val="32"/>
        </w:rPr>
      </w:pPr>
    </w:p>
    <w:p>
      <w:pPr>
        <w:spacing w:afterLines="50" w:line="580" w:lineRule="exact"/>
        <w:jc w:val="center"/>
        <w:rPr>
          <w:rFonts w:ascii="黑体" w:hAnsi="黑体" w:eastAsia="黑体"/>
          <w:sz w:val="28"/>
          <w:szCs w:val="28"/>
        </w:rPr>
      </w:pPr>
      <w:r>
        <w:rPr>
          <w:rFonts w:hint="eastAsia" w:ascii="黑体" w:hAnsi="黑体" w:eastAsia="黑体"/>
          <w:sz w:val="28"/>
          <w:szCs w:val="28"/>
        </w:rPr>
        <w:t xml:space="preserve">表1 </w:t>
      </w:r>
      <w:r>
        <w:rPr>
          <w:rFonts w:ascii="黑体" w:hAnsi="黑体" w:eastAsia="黑体"/>
          <w:sz w:val="28"/>
          <w:szCs w:val="28"/>
        </w:rPr>
        <w:t>2</w:t>
      </w:r>
      <w:r>
        <w:rPr>
          <w:rFonts w:hint="eastAsia" w:ascii="黑体" w:hAnsi="黑体" w:eastAsia="黑体"/>
          <w:sz w:val="28"/>
          <w:szCs w:val="28"/>
        </w:rPr>
        <w:t>01</w:t>
      </w:r>
      <w:r>
        <w:rPr>
          <w:rFonts w:ascii="黑体" w:hAnsi="黑体" w:eastAsia="黑体"/>
          <w:sz w:val="28"/>
          <w:szCs w:val="28"/>
        </w:rPr>
        <w:t>6</w:t>
      </w:r>
      <w:r>
        <w:rPr>
          <w:rFonts w:hint="eastAsia" w:ascii="黑体" w:hAnsi="黑体" w:eastAsia="黑体"/>
          <w:sz w:val="28"/>
          <w:szCs w:val="28"/>
        </w:rPr>
        <w:t>-20</w:t>
      </w:r>
      <w:r>
        <w:rPr>
          <w:rFonts w:ascii="黑体" w:hAnsi="黑体" w:eastAsia="黑体"/>
          <w:sz w:val="28"/>
          <w:szCs w:val="28"/>
        </w:rPr>
        <w:t>20</w:t>
      </w:r>
      <w:r>
        <w:rPr>
          <w:rFonts w:hint="eastAsia" w:ascii="黑体" w:hAnsi="黑体" w:eastAsia="黑体"/>
          <w:sz w:val="28"/>
          <w:szCs w:val="28"/>
        </w:rPr>
        <w:t>年义乌新增市场情况</w:t>
      </w:r>
    </w:p>
    <w:tbl>
      <w:tblPr>
        <w:tblStyle w:val="15"/>
        <w:tblW w:w="86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1141"/>
        <w:gridCol w:w="1024"/>
        <w:gridCol w:w="1536"/>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699" w:type="dxa"/>
            <w:vAlign w:val="center"/>
          </w:tcPr>
          <w:p>
            <w:pPr>
              <w:jc w:val="center"/>
              <w:rPr>
                <w:rFonts w:ascii="楷体_GB2312" w:eastAsia="楷体_GB2312"/>
                <w:b/>
                <w:bCs/>
                <w:sz w:val="24"/>
              </w:rPr>
            </w:pPr>
            <w:r>
              <w:rPr>
                <w:rFonts w:hint="eastAsia" w:ascii="楷体_GB2312" w:eastAsia="楷体_GB2312"/>
                <w:b/>
                <w:bCs/>
                <w:sz w:val="24"/>
              </w:rPr>
              <w:t>新增市场</w:t>
            </w:r>
          </w:p>
        </w:tc>
        <w:tc>
          <w:tcPr>
            <w:tcW w:w="1141" w:type="dxa"/>
            <w:vAlign w:val="center"/>
          </w:tcPr>
          <w:p>
            <w:pPr>
              <w:jc w:val="center"/>
              <w:rPr>
                <w:rFonts w:ascii="楷体_GB2312" w:eastAsia="楷体_GB2312"/>
                <w:b/>
                <w:bCs/>
                <w:sz w:val="24"/>
              </w:rPr>
            </w:pPr>
            <w:r>
              <w:rPr>
                <w:rFonts w:hint="eastAsia" w:ascii="楷体_GB2312" w:eastAsia="楷体_GB2312"/>
                <w:b/>
                <w:bCs/>
                <w:sz w:val="24"/>
              </w:rPr>
              <w:t>商位数（个）</w:t>
            </w:r>
          </w:p>
        </w:tc>
        <w:tc>
          <w:tcPr>
            <w:tcW w:w="1024" w:type="dxa"/>
            <w:vAlign w:val="center"/>
          </w:tcPr>
          <w:p>
            <w:pPr>
              <w:jc w:val="center"/>
              <w:rPr>
                <w:rFonts w:ascii="楷体_GB2312" w:eastAsia="楷体_GB2312"/>
                <w:b/>
                <w:bCs/>
                <w:sz w:val="24"/>
              </w:rPr>
            </w:pPr>
            <w:r>
              <w:rPr>
                <w:rFonts w:hint="eastAsia" w:ascii="楷体_GB2312" w:eastAsia="楷体_GB2312"/>
                <w:b/>
                <w:bCs/>
                <w:sz w:val="24"/>
              </w:rPr>
              <w:t>主体数（户）</w:t>
            </w:r>
          </w:p>
        </w:tc>
        <w:tc>
          <w:tcPr>
            <w:tcW w:w="1536" w:type="dxa"/>
            <w:vAlign w:val="center"/>
          </w:tcPr>
          <w:p>
            <w:pPr>
              <w:ind w:left="1" w:leftChars="-51" w:right="-107" w:rightChars="-51" w:hanging="108" w:hangingChars="45"/>
              <w:jc w:val="center"/>
              <w:rPr>
                <w:rFonts w:ascii="楷体_GB2312" w:eastAsia="楷体_GB2312"/>
                <w:b/>
                <w:bCs/>
                <w:sz w:val="24"/>
              </w:rPr>
            </w:pPr>
            <w:r>
              <w:rPr>
                <w:rFonts w:hint="eastAsia" w:ascii="楷体_GB2312" w:eastAsia="楷体_GB2312"/>
                <w:b/>
                <w:bCs/>
                <w:sz w:val="24"/>
              </w:rPr>
              <w:t>建筑面积</w:t>
            </w:r>
          </w:p>
          <w:p>
            <w:pPr>
              <w:ind w:left="1" w:leftChars="-51" w:right="-107" w:rightChars="-51" w:hanging="108" w:hangingChars="45"/>
              <w:jc w:val="center"/>
              <w:rPr>
                <w:rFonts w:ascii="楷体_GB2312" w:eastAsia="楷体_GB2312"/>
                <w:b/>
                <w:bCs/>
                <w:sz w:val="24"/>
              </w:rPr>
            </w:pPr>
            <w:r>
              <w:rPr>
                <w:rFonts w:hint="eastAsia" w:ascii="楷体_GB2312" w:eastAsia="楷体_GB2312"/>
                <w:b/>
                <w:bCs/>
                <w:sz w:val="24"/>
              </w:rPr>
              <w:t>（万平方米）</w:t>
            </w:r>
          </w:p>
        </w:tc>
        <w:tc>
          <w:tcPr>
            <w:tcW w:w="2212" w:type="dxa"/>
            <w:vAlign w:val="center"/>
          </w:tcPr>
          <w:p>
            <w:pPr>
              <w:jc w:val="center"/>
              <w:rPr>
                <w:rFonts w:ascii="楷体_GB2312" w:eastAsia="楷体_GB2312"/>
                <w:b/>
                <w:bCs/>
                <w:sz w:val="24"/>
              </w:rPr>
            </w:pPr>
            <w:r>
              <w:rPr>
                <w:rFonts w:hint="eastAsia" w:ascii="楷体_GB2312" w:eastAsia="楷体_GB2312"/>
                <w:b/>
                <w:bCs/>
                <w:sz w:val="24"/>
              </w:rPr>
              <w:t>开业时间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2699" w:type="dxa"/>
            <w:shd w:val="clear" w:color="auto" w:fill="auto"/>
            <w:vAlign w:val="center"/>
          </w:tcPr>
          <w:p>
            <w:pPr>
              <w:spacing w:line="360" w:lineRule="auto"/>
              <w:rPr>
                <w:rFonts w:ascii="楷体_GB2312" w:eastAsia="楷体_GB2312"/>
                <w:sz w:val="24"/>
              </w:rPr>
            </w:pPr>
            <w:r>
              <w:rPr>
                <w:rFonts w:hint="eastAsia" w:ascii="楷体_GB2312" w:eastAsia="楷体_GB2312"/>
                <w:sz w:val="24"/>
              </w:rPr>
              <w:t>义乌国际商贸城城东扩市场</w:t>
            </w:r>
          </w:p>
        </w:tc>
        <w:tc>
          <w:tcPr>
            <w:tcW w:w="1141" w:type="dxa"/>
            <w:shd w:val="clear" w:color="000000" w:fill="FFFFFF"/>
            <w:vAlign w:val="center"/>
          </w:tcPr>
          <w:p>
            <w:pPr>
              <w:spacing w:line="360" w:lineRule="auto"/>
              <w:jc w:val="center"/>
              <w:rPr>
                <w:rFonts w:ascii="楷体_GB2312" w:eastAsia="楷体_GB2312"/>
                <w:sz w:val="24"/>
              </w:rPr>
            </w:pPr>
            <w:r>
              <w:rPr>
                <w:rFonts w:ascii="楷体_GB2312" w:eastAsia="楷体_GB2312"/>
                <w:sz w:val="24"/>
              </w:rPr>
              <w:t>1694</w:t>
            </w:r>
          </w:p>
        </w:tc>
        <w:tc>
          <w:tcPr>
            <w:tcW w:w="1024" w:type="dxa"/>
            <w:shd w:val="clear" w:color="000000" w:fill="FFFFFF"/>
            <w:vAlign w:val="center"/>
          </w:tcPr>
          <w:p>
            <w:pPr>
              <w:spacing w:line="360" w:lineRule="auto"/>
              <w:jc w:val="center"/>
              <w:rPr>
                <w:rFonts w:ascii="楷体_GB2312" w:eastAsia="楷体_GB2312"/>
                <w:sz w:val="24"/>
              </w:rPr>
            </w:pPr>
            <w:r>
              <w:rPr>
                <w:rFonts w:ascii="楷体_GB2312" w:eastAsia="楷体_GB2312"/>
                <w:sz w:val="24"/>
              </w:rPr>
              <w:t>2488</w:t>
            </w:r>
          </w:p>
        </w:tc>
        <w:tc>
          <w:tcPr>
            <w:tcW w:w="1536" w:type="dxa"/>
            <w:vAlign w:val="center"/>
          </w:tcPr>
          <w:p>
            <w:pPr>
              <w:spacing w:line="360" w:lineRule="auto"/>
              <w:jc w:val="center"/>
              <w:rPr>
                <w:rFonts w:ascii="楷体_GB2312" w:eastAsia="楷体_GB2312"/>
                <w:sz w:val="24"/>
              </w:rPr>
            </w:pPr>
            <w:r>
              <w:rPr>
                <w:rFonts w:ascii="楷体_GB2312" w:eastAsia="楷体_GB2312"/>
                <w:sz w:val="24"/>
              </w:rPr>
              <w:t>27.3</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6</w:t>
            </w:r>
            <w:r>
              <w:rPr>
                <w:rFonts w:hint="eastAsia" w:ascii="楷体_GB2312" w:eastAsia="楷体_GB2312"/>
                <w:sz w:val="24"/>
              </w:rPr>
              <w:t>年</w:t>
            </w:r>
            <w:r>
              <w:rPr>
                <w:rFonts w:ascii="楷体_GB2312" w:eastAsia="楷体_GB2312"/>
                <w:sz w:val="24"/>
              </w:rPr>
              <w:t>3</w:t>
            </w:r>
            <w:r>
              <w:rPr>
                <w:rFonts w:hint="eastAsia" w:ascii="楷体_GB2312" w:eastAsia="楷体_GB2312"/>
                <w:sz w:val="24"/>
              </w:rPr>
              <w:t>月2</w:t>
            </w:r>
            <w:r>
              <w:rPr>
                <w:rFonts w:ascii="楷体_GB2312" w:eastAsia="楷体_GB2312"/>
                <w:sz w:val="24"/>
              </w:rPr>
              <w:t>4</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699" w:type="dxa"/>
            <w:vAlign w:val="center"/>
          </w:tcPr>
          <w:p>
            <w:pPr>
              <w:spacing w:line="360" w:lineRule="auto"/>
              <w:rPr>
                <w:rFonts w:ascii="楷体_GB2312" w:eastAsia="楷体_GB2312"/>
                <w:sz w:val="24"/>
              </w:rPr>
            </w:pPr>
            <w:r>
              <w:rPr>
                <w:rFonts w:hint="eastAsia" w:ascii="楷体_GB2312" w:eastAsia="楷体_GB2312"/>
                <w:sz w:val="24"/>
              </w:rPr>
              <w:t>义乌国际生产资料市场进口孵化区</w:t>
            </w:r>
          </w:p>
        </w:tc>
        <w:tc>
          <w:tcPr>
            <w:tcW w:w="1141" w:type="dxa"/>
            <w:vAlign w:val="center"/>
          </w:tcPr>
          <w:p>
            <w:pPr>
              <w:spacing w:line="360" w:lineRule="auto"/>
              <w:jc w:val="center"/>
              <w:rPr>
                <w:rFonts w:ascii="楷体_GB2312" w:eastAsia="楷体_GB2312"/>
                <w:sz w:val="24"/>
              </w:rPr>
            </w:pPr>
            <w:r>
              <w:rPr>
                <w:rFonts w:ascii="楷体_GB2312" w:eastAsia="楷体_GB2312"/>
                <w:sz w:val="24"/>
              </w:rPr>
              <w:t>190</w:t>
            </w:r>
          </w:p>
        </w:tc>
        <w:tc>
          <w:tcPr>
            <w:tcW w:w="1024" w:type="dxa"/>
            <w:vAlign w:val="center"/>
          </w:tcPr>
          <w:p>
            <w:pPr>
              <w:spacing w:line="360" w:lineRule="auto"/>
              <w:jc w:val="center"/>
              <w:rPr>
                <w:rFonts w:ascii="楷体_GB2312" w:eastAsia="楷体_GB2312"/>
                <w:sz w:val="24"/>
              </w:rPr>
            </w:pPr>
            <w:r>
              <w:rPr>
                <w:rFonts w:ascii="楷体_GB2312" w:eastAsia="楷体_GB2312"/>
                <w:sz w:val="24"/>
              </w:rPr>
              <w:t>190</w:t>
            </w:r>
          </w:p>
        </w:tc>
        <w:tc>
          <w:tcPr>
            <w:tcW w:w="1536" w:type="dxa"/>
            <w:vAlign w:val="center"/>
          </w:tcPr>
          <w:p>
            <w:pPr>
              <w:spacing w:line="360" w:lineRule="auto"/>
              <w:jc w:val="center"/>
              <w:rPr>
                <w:rFonts w:ascii="楷体_GB2312" w:eastAsia="楷体_GB2312"/>
                <w:sz w:val="24"/>
              </w:rPr>
            </w:pPr>
            <w:r>
              <w:rPr>
                <w:rFonts w:ascii="楷体_GB2312" w:eastAsia="楷体_GB2312"/>
                <w:sz w:val="24"/>
              </w:rPr>
              <w:t>12</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9</w:t>
            </w:r>
            <w:r>
              <w:rPr>
                <w:rFonts w:hint="eastAsia" w:ascii="楷体_GB2312" w:eastAsia="楷体_GB2312"/>
                <w:sz w:val="24"/>
              </w:rPr>
              <w:t>年</w:t>
            </w:r>
            <w:r>
              <w:rPr>
                <w:rFonts w:ascii="楷体_GB2312" w:eastAsia="楷体_GB2312"/>
                <w:sz w:val="24"/>
              </w:rPr>
              <w:t>11</w:t>
            </w:r>
            <w:r>
              <w:rPr>
                <w:rFonts w:hint="eastAsia" w:ascii="楷体_GB2312" w:eastAsia="楷体_GB2312"/>
                <w:sz w:val="24"/>
              </w:rPr>
              <w:t>月1</w:t>
            </w:r>
            <w:r>
              <w:rPr>
                <w:rFonts w:ascii="楷体_GB2312" w:eastAsia="楷体_GB2312"/>
                <w:sz w:val="24"/>
              </w:rPr>
              <w:t>3</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99" w:type="dxa"/>
            <w:shd w:val="clear" w:color="auto" w:fill="auto"/>
            <w:vAlign w:val="center"/>
          </w:tcPr>
          <w:p>
            <w:pPr>
              <w:spacing w:line="360" w:lineRule="auto"/>
              <w:rPr>
                <w:rFonts w:ascii="楷体_GB2312" w:eastAsia="楷体_GB2312"/>
                <w:sz w:val="24"/>
              </w:rPr>
            </w:pPr>
            <w:r>
              <w:rPr>
                <w:rFonts w:hint="eastAsia" w:ascii="楷体_GB2312" w:eastAsia="楷体_GB2312"/>
                <w:sz w:val="24"/>
              </w:rPr>
              <w:t>浙中农副产品物流中心</w:t>
            </w:r>
          </w:p>
        </w:tc>
        <w:tc>
          <w:tcPr>
            <w:tcW w:w="1141" w:type="dxa"/>
            <w:shd w:val="clear" w:color="000000" w:fill="FFFFFF"/>
            <w:vAlign w:val="center"/>
          </w:tcPr>
          <w:p>
            <w:pPr>
              <w:spacing w:line="360" w:lineRule="auto"/>
              <w:jc w:val="center"/>
              <w:rPr>
                <w:rFonts w:ascii="楷体_GB2312" w:eastAsia="楷体_GB2312"/>
                <w:sz w:val="24"/>
              </w:rPr>
            </w:pPr>
            <w:r>
              <w:rPr>
                <w:rFonts w:ascii="楷体_GB2312" w:eastAsia="楷体_GB2312"/>
                <w:sz w:val="24"/>
              </w:rPr>
              <w:t>391</w:t>
            </w:r>
          </w:p>
        </w:tc>
        <w:tc>
          <w:tcPr>
            <w:tcW w:w="1024" w:type="dxa"/>
            <w:shd w:val="clear" w:color="000000" w:fill="FFFFFF"/>
            <w:vAlign w:val="center"/>
          </w:tcPr>
          <w:p>
            <w:pPr>
              <w:spacing w:line="360" w:lineRule="auto"/>
              <w:jc w:val="center"/>
              <w:rPr>
                <w:rFonts w:ascii="楷体_GB2312" w:eastAsia="楷体_GB2312"/>
                <w:sz w:val="24"/>
              </w:rPr>
            </w:pPr>
            <w:r>
              <w:rPr>
                <w:rFonts w:ascii="楷体_GB2312" w:eastAsia="楷体_GB2312"/>
                <w:sz w:val="24"/>
              </w:rPr>
              <w:t>324</w:t>
            </w:r>
          </w:p>
        </w:tc>
        <w:tc>
          <w:tcPr>
            <w:tcW w:w="1536" w:type="dxa"/>
            <w:vAlign w:val="center"/>
          </w:tcPr>
          <w:p>
            <w:pPr>
              <w:spacing w:line="360" w:lineRule="auto"/>
              <w:jc w:val="center"/>
              <w:rPr>
                <w:rFonts w:ascii="楷体_GB2312" w:eastAsia="楷体_GB2312"/>
                <w:sz w:val="24"/>
              </w:rPr>
            </w:pPr>
            <w:r>
              <w:rPr>
                <w:rFonts w:ascii="楷体_GB2312" w:eastAsia="楷体_GB2312"/>
                <w:sz w:val="24"/>
              </w:rPr>
              <w:t>18</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6</w:t>
            </w:r>
            <w:r>
              <w:rPr>
                <w:rFonts w:hint="eastAsia" w:ascii="楷体_GB2312" w:eastAsia="楷体_GB2312"/>
                <w:sz w:val="24"/>
              </w:rPr>
              <w:t>年</w:t>
            </w:r>
            <w:r>
              <w:rPr>
                <w:rFonts w:ascii="楷体_GB2312" w:eastAsia="楷体_GB2312"/>
                <w:sz w:val="24"/>
              </w:rPr>
              <w:t>12</w:t>
            </w:r>
            <w:r>
              <w:rPr>
                <w:rFonts w:hint="eastAsia" w:ascii="楷体_GB2312" w:eastAsia="楷体_GB2312"/>
                <w:sz w:val="24"/>
              </w:rPr>
              <w:t>月2</w:t>
            </w:r>
            <w:r>
              <w:rPr>
                <w:rFonts w:ascii="楷体_GB2312" w:eastAsia="楷体_GB2312"/>
                <w:sz w:val="24"/>
              </w:rPr>
              <w:t>9</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99" w:type="dxa"/>
            <w:vAlign w:val="center"/>
          </w:tcPr>
          <w:p>
            <w:pPr>
              <w:spacing w:line="360" w:lineRule="auto"/>
              <w:rPr>
                <w:rFonts w:ascii="楷体_GB2312" w:eastAsia="楷体_GB2312"/>
                <w:sz w:val="24"/>
              </w:rPr>
            </w:pPr>
            <w:r>
              <w:rPr>
                <w:rFonts w:hint="eastAsia" w:ascii="楷体_GB2312" w:eastAsia="楷体_GB2312"/>
                <w:sz w:val="24"/>
              </w:rPr>
              <w:t>义乌模具城二期</w:t>
            </w:r>
          </w:p>
        </w:tc>
        <w:tc>
          <w:tcPr>
            <w:tcW w:w="1141" w:type="dxa"/>
            <w:vAlign w:val="center"/>
          </w:tcPr>
          <w:p>
            <w:pPr>
              <w:spacing w:line="360" w:lineRule="auto"/>
              <w:jc w:val="center"/>
              <w:rPr>
                <w:rFonts w:ascii="楷体_GB2312" w:eastAsia="楷体_GB2312"/>
                <w:sz w:val="24"/>
              </w:rPr>
            </w:pPr>
            <w:r>
              <w:rPr>
                <w:rFonts w:ascii="楷体_GB2312" w:eastAsia="楷体_GB2312"/>
                <w:sz w:val="24"/>
              </w:rPr>
              <w:t>278</w:t>
            </w:r>
          </w:p>
        </w:tc>
        <w:tc>
          <w:tcPr>
            <w:tcW w:w="1024" w:type="dxa"/>
            <w:vAlign w:val="center"/>
          </w:tcPr>
          <w:p>
            <w:pPr>
              <w:spacing w:line="360" w:lineRule="auto"/>
              <w:jc w:val="center"/>
              <w:rPr>
                <w:rFonts w:ascii="楷体_GB2312" w:eastAsia="楷体_GB2312"/>
                <w:sz w:val="24"/>
              </w:rPr>
            </w:pPr>
            <w:r>
              <w:rPr>
                <w:rFonts w:ascii="楷体_GB2312" w:eastAsia="楷体_GB2312"/>
                <w:sz w:val="24"/>
              </w:rPr>
              <w:t>146</w:t>
            </w:r>
          </w:p>
        </w:tc>
        <w:tc>
          <w:tcPr>
            <w:tcW w:w="1536" w:type="dxa"/>
            <w:vAlign w:val="center"/>
          </w:tcPr>
          <w:p>
            <w:pPr>
              <w:spacing w:line="360" w:lineRule="auto"/>
              <w:jc w:val="center"/>
              <w:rPr>
                <w:rFonts w:ascii="楷体_GB2312" w:eastAsia="楷体_GB2312"/>
                <w:sz w:val="24"/>
              </w:rPr>
            </w:pPr>
            <w:r>
              <w:rPr>
                <w:rFonts w:ascii="楷体_GB2312" w:eastAsia="楷体_GB2312"/>
                <w:sz w:val="24"/>
              </w:rPr>
              <w:t>5.7</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8</w:t>
            </w:r>
            <w:r>
              <w:rPr>
                <w:rFonts w:hint="eastAsia" w:ascii="楷体_GB2312" w:eastAsia="楷体_GB2312"/>
                <w:sz w:val="24"/>
              </w:rPr>
              <w:t>年</w:t>
            </w:r>
            <w:r>
              <w:rPr>
                <w:rFonts w:ascii="楷体_GB2312" w:eastAsia="楷体_GB2312"/>
                <w:sz w:val="24"/>
              </w:rPr>
              <w:t>12</w:t>
            </w:r>
            <w:r>
              <w:rPr>
                <w:rFonts w:hint="eastAsia" w:ascii="楷体_GB2312" w:eastAsia="楷体_GB2312"/>
                <w:sz w:val="24"/>
              </w:rPr>
              <w:t>月</w:t>
            </w:r>
            <w:r>
              <w:rPr>
                <w:rFonts w:ascii="楷体_GB2312" w:eastAsia="楷体_GB2312"/>
                <w:sz w:val="24"/>
              </w:rPr>
              <w:t>30</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99" w:type="dxa"/>
            <w:vAlign w:val="center"/>
          </w:tcPr>
          <w:p>
            <w:pPr>
              <w:spacing w:line="360" w:lineRule="auto"/>
              <w:rPr>
                <w:rFonts w:ascii="楷体_GB2312" w:eastAsia="楷体_GB2312"/>
                <w:sz w:val="24"/>
              </w:rPr>
            </w:pPr>
            <w:r>
              <w:rPr>
                <w:rFonts w:hint="eastAsia" w:ascii="楷体_GB2312" w:eastAsia="楷体_GB2312"/>
                <w:sz w:val="24"/>
              </w:rPr>
              <w:t>义乌汽车交易中心</w:t>
            </w:r>
          </w:p>
        </w:tc>
        <w:tc>
          <w:tcPr>
            <w:tcW w:w="1141" w:type="dxa"/>
            <w:vAlign w:val="center"/>
          </w:tcPr>
          <w:p>
            <w:pPr>
              <w:spacing w:line="360" w:lineRule="auto"/>
              <w:jc w:val="center"/>
              <w:rPr>
                <w:rFonts w:ascii="楷体_GB2312" w:eastAsia="楷体_GB2312"/>
                <w:sz w:val="24"/>
              </w:rPr>
            </w:pPr>
            <w:r>
              <w:rPr>
                <w:rFonts w:ascii="楷体_GB2312" w:eastAsia="楷体_GB2312"/>
                <w:sz w:val="24"/>
              </w:rPr>
              <w:t>343</w:t>
            </w:r>
          </w:p>
        </w:tc>
        <w:tc>
          <w:tcPr>
            <w:tcW w:w="1024" w:type="dxa"/>
            <w:vAlign w:val="center"/>
          </w:tcPr>
          <w:p>
            <w:pPr>
              <w:spacing w:line="360" w:lineRule="auto"/>
              <w:jc w:val="center"/>
              <w:rPr>
                <w:rFonts w:ascii="楷体_GB2312" w:eastAsia="楷体_GB2312"/>
                <w:sz w:val="24"/>
              </w:rPr>
            </w:pPr>
            <w:r>
              <w:rPr>
                <w:rFonts w:ascii="楷体_GB2312" w:eastAsia="楷体_GB2312"/>
                <w:sz w:val="24"/>
              </w:rPr>
              <w:t>346</w:t>
            </w:r>
          </w:p>
        </w:tc>
        <w:tc>
          <w:tcPr>
            <w:tcW w:w="1536" w:type="dxa"/>
            <w:vAlign w:val="center"/>
          </w:tcPr>
          <w:p>
            <w:pPr>
              <w:spacing w:line="360" w:lineRule="auto"/>
              <w:jc w:val="center"/>
              <w:rPr>
                <w:rFonts w:ascii="楷体_GB2312" w:eastAsia="楷体_GB2312"/>
                <w:sz w:val="24"/>
              </w:rPr>
            </w:pPr>
            <w:r>
              <w:rPr>
                <w:rFonts w:ascii="楷体_GB2312" w:eastAsia="楷体_GB2312"/>
                <w:sz w:val="24"/>
              </w:rPr>
              <w:t>22</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9</w:t>
            </w:r>
            <w:r>
              <w:rPr>
                <w:rFonts w:hint="eastAsia" w:ascii="楷体_GB2312" w:eastAsia="楷体_GB2312"/>
                <w:sz w:val="24"/>
              </w:rPr>
              <w:t>年1</w:t>
            </w:r>
            <w:r>
              <w:rPr>
                <w:rFonts w:ascii="楷体_GB2312" w:eastAsia="楷体_GB2312"/>
                <w:sz w:val="24"/>
              </w:rPr>
              <w:t>2</w:t>
            </w:r>
            <w:r>
              <w:rPr>
                <w:rFonts w:hint="eastAsia" w:ascii="楷体_GB2312" w:eastAsia="楷体_GB2312"/>
                <w:sz w:val="24"/>
              </w:rPr>
              <w:t>月2</w:t>
            </w:r>
            <w:r>
              <w:rPr>
                <w:rFonts w:ascii="楷体_GB2312" w:eastAsia="楷体_GB2312"/>
                <w:sz w:val="24"/>
              </w:rPr>
              <w:t>1</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99" w:type="dxa"/>
            <w:vAlign w:val="center"/>
          </w:tcPr>
          <w:p>
            <w:pPr>
              <w:spacing w:line="360" w:lineRule="auto"/>
              <w:jc w:val="center"/>
              <w:rPr>
                <w:rFonts w:ascii="楷体_GB2312" w:eastAsia="楷体_GB2312"/>
                <w:sz w:val="24"/>
              </w:rPr>
            </w:pPr>
            <w:r>
              <w:rPr>
                <w:rFonts w:hint="eastAsia" w:ascii="楷体_GB2312" w:eastAsia="楷体_GB2312"/>
                <w:sz w:val="24"/>
              </w:rPr>
              <w:t>合计</w:t>
            </w:r>
          </w:p>
        </w:tc>
        <w:tc>
          <w:tcPr>
            <w:tcW w:w="1141" w:type="dxa"/>
            <w:vAlign w:val="center"/>
          </w:tcPr>
          <w:p>
            <w:pPr>
              <w:spacing w:line="360" w:lineRule="auto"/>
              <w:jc w:val="center"/>
              <w:rPr>
                <w:rFonts w:ascii="楷体_GB2312" w:eastAsia="楷体_GB2312"/>
                <w:sz w:val="24"/>
              </w:rPr>
            </w:pPr>
            <w:r>
              <w:rPr>
                <w:rFonts w:ascii="楷体_GB2312" w:eastAsia="楷体_GB2312"/>
                <w:sz w:val="24"/>
              </w:rPr>
              <w:t>2896</w:t>
            </w:r>
          </w:p>
        </w:tc>
        <w:tc>
          <w:tcPr>
            <w:tcW w:w="1024" w:type="dxa"/>
            <w:vAlign w:val="center"/>
          </w:tcPr>
          <w:p>
            <w:pPr>
              <w:spacing w:line="360" w:lineRule="auto"/>
              <w:jc w:val="center"/>
              <w:rPr>
                <w:rFonts w:ascii="楷体_GB2312" w:eastAsia="楷体_GB2312"/>
                <w:sz w:val="24"/>
              </w:rPr>
            </w:pPr>
            <w:r>
              <w:rPr>
                <w:rFonts w:hint="eastAsia" w:ascii="楷体_GB2312" w:eastAsia="楷体_GB2312"/>
                <w:sz w:val="24"/>
              </w:rPr>
              <w:t>3</w:t>
            </w:r>
            <w:r>
              <w:rPr>
                <w:rFonts w:ascii="楷体_GB2312" w:eastAsia="楷体_GB2312"/>
                <w:sz w:val="24"/>
              </w:rPr>
              <w:t>494</w:t>
            </w:r>
          </w:p>
        </w:tc>
        <w:tc>
          <w:tcPr>
            <w:tcW w:w="1536" w:type="dxa"/>
            <w:vAlign w:val="center"/>
          </w:tcPr>
          <w:p>
            <w:pPr>
              <w:spacing w:line="360" w:lineRule="auto"/>
              <w:jc w:val="center"/>
              <w:rPr>
                <w:rFonts w:ascii="楷体_GB2312" w:eastAsia="楷体_GB2312"/>
                <w:sz w:val="24"/>
              </w:rPr>
            </w:pPr>
            <w:r>
              <w:rPr>
                <w:rFonts w:hint="eastAsia" w:ascii="楷体_GB2312" w:eastAsia="楷体_GB2312"/>
                <w:sz w:val="24"/>
              </w:rPr>
              <w:t>8</w:t>
            </w:r>
            <w:r>
              <w:rPr>
                <w:rFonts w:ascii="楷体_GB2312" w:eastAsia="楷体_GB2312"/>
                <w:sz w:val="24"/>
              </w:rPr>
              <w:t>5</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w:t>
            </w:r>
          </w:p>
        </w:tc>
      </w:tr>
    </w:tbl>
    <w:p>
      <w:pPr>
        <w:snapToGrid w:val="0"/>
        <w:spacing w:line="580" w:lineRule="exact"/>
        <w:ind w:firstLine="643" w:firstLineChars="200"/>
        <w:rPr>
          <w:rFonts w:ascii="仿宋_GB2312" w:hAnsi="仿宋" w:eastAsia="仿宋_GB2312"/>
          <w:b/>
          <w:sz w:val="32"/>
          <w:szCs w:val="32"/>
        </w:rPr>
      </w:pP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cs="宋体"/>
          <w:b/>
          <w:sz w:val="32"/>
          <w:szCs w:val="20"/>
        </w:rPr>
        <w:t>市场加速提档升级。</w:t>
      </w:r>
      <w:r>
        <w:rPr>
          <w:rFonts w:hint="eastAsia" w:ascii="仿宋" w:hAnsi="仿宋" w:eastAsia="仿宋"/>
          <w:sz w:val="32"/>
          <w:szCs w:val="32"/>
        </w:rPr>
        <w:t>内贸市场体系加速构建，在全国选择可加深合作的二级市场，以品牌授权、资源置换及业务合作等形式，推广布局义乌好货、爱喜猫进口商品等品牌。与</w:t>
      </w:r>
      <w:r>
        <w:rPr>
          <w:rFonts w:ascii="仿宋" w:hAnsi="仿宋" w:eastAsia="仿宋"/>
          <w:sz w:val="32"/>
          <w:szCs w:val="32"/>
        </w:rPr>
        <w:t>100</w:t>
      </w:r>
      <w:r>
        <w:rPr>
          <w:rFonts w:hint="eastAsia" w:ascii="仿宋" w:hAnsi="仿宋" w:eastAsia="仿宋"/>
          <w:sz w:val="32"/>
          <w:szCs w:val="32"/>
        </w:rPr>
        <w:t>家单位达成合作意向或签约，推动形成“义乌市场主导、下游市场承接、各方互利共生”的内贸市场体系。国内市场网络加速布局，成立国内专业市场联盟，首批成员17家。</w:t>
      </w:r>
      <w:r>
        <w:rPr>
          <w:rFonts w:ascii="仿宋" w:hAnsi="仿宋" w:eastAsia="仿宋"/>
          <w:sz w:val="32"/>
          <w:szCs w:val="32"/>
        </w:rPr>
        <w:t>国际业务加速拓展</w:t>
      </w:r>
      <w:r>
        <w:rPr>
          <w:rFonts w:hint="eastAsia" w:ascii="仿宋" w:hAnsi="仿宋" w:eastAsia="仿宋"/>
          <w:sz w:val="32"/>
          <w:szCs w:val="32"/>
        </w:rPr>
        <w:t>，</w:t>
      </w:r>
      <w:r>
        <w:rPr>
          <w:rFonts w:ascii="仿宋" w:hAnsi="仿宋" w:eastAsia="仿宋"/>
          <w:sz w:val="32"/>
          <w:szCs w:val="32"/>
        </w:rPr>
        <w:t>布局</w:t>
      </w:r>
      <w:r>
        <w:rPr>
          <w:rFonts w:hint="eastAsia" w:ascii="仿宋" w:hAnsi="仿宋" w:eastAsia="仿宋"/>
          <w:sz w:val="32"/>
          <w:szCs w:val="32"/>
        </w:rPr>
        <w:t>10</w:t>
      </w:r>
      <w:r>
        <w:rPr>
          <w:rFonts w:ascii="仿宋" w:hAnsi="仿宋" w:eastAsia="仿宋"/>
          <w:sz w:val="32"/>
          <w:szCs w:val="32"/>
        </w:rPr>
        <w:t>个</w:t>
      </w:r>
      <w:r>
        <w:rPr>
          <w:rFonts w:hint="eastAsia" w:ascii="仿宋" w:hAnsi="仿宋" w:eastAsia="仿宋"/>
          <w:sz w:val="32"/>
          <w:szCs w:val="32"/>
        </w:rPr>
        <w:t>“</w:t>
      </w:r>
      <w:r>
        <w:rPr>
          <w:rFonts w:ascii="仿宋" w:hAnsi="仿宋" w:eastAsia="仿宋"/>
          <w:sz w:val="32"/>
          <w:szCs w:val="32"/>
        </w:rPr>
        <w:t>带你到中国</w:t>
      </w:r>
      <w:r>
        <w:rPr>
          <w:rFonts w:hint="eastAsia" w:ascii="仿宋" w:hAnsi="仿宋" w:eastAsia="仿宋"/>
          <w:sz w:val="32"/>
          <w:szCs w:val="32"/>
        </w:rPr>
        <w:t>”</w:t>
      </w:r>
      <w:r>
        <w:rPr>
          <w:rFonts w:ascii="仿宋" w:hAnsi="仿宋" w:eastAsia="仿宋"/>
          <w:sz w:val="32"/>
          <w:szCs w:val="32"/>
        </w:rPr>
        <w:t>展厅，其中捷克、迪拜、卢旺达、西班牙、德国</w:t>
      </w:r>
      <w:r>
        <w:rPr>
          <w:rFonts w:hint="eastAsia" w:ascii="仿宋" w:hAnsi="仿宋" w:eastAsia="仿宋"/>
          <w:sz w:val="32"/>
          <w:szCs w:val="32"/>
        </w:rPr>
        <w:t>等5个</w:t>
      </w:r>
      <w:r>
        <w:rPr>
          <w:rFonts w:ascii="仿宋" w:hAnsi="仿宋" w:eastAsia="仿宋"/>
          <w:sz w:val="32"/>
          <w:szCs w:val="32"/>
        </w:rPr>
        <w:t>展厅已投入运营，韩国、日本</w:t>
      </w:r>
      <w:r>
        <w:rPr>
          <w:rFonts w:hint="eastAsia" w:ascii="仿宋" w:hAnsi="仿宋" w:eastAsia="仿宋"/>
          <w:sz w:val="32"/>
          <w:szCs w:val="32"/>
        </w:rPr>
        <w:t>、泰国</w:t>
      </w:r>
      <w:r>
        <w:rPr>
          <w:rFonts w:ascii="仿宋" w:hAnsi="仿宋" w:eastAsia="仿宋"/>
          <w:sz w:val="32"/>
          <w:szCs w:val="32"/>
        </w:rPr>
        <w:t>展厅</w:t>
      </w:r>
      <w:r>
        <w:rPr>
          <w:rFonts w:hint="eastAsia" w:ascii="仿宋" w:hAnsi="仿宋" w:eastAsia="仿宋"/>
          <w:sz w:val="32"/>
          <w:szCs w:val="32"/>
        </w:rPr>
        <w:t>已试运营。迪拜商贸城项目启动预招商工作。以</w:t>
      </w:r>
      <w:r>
        <w:rPr>
          <w:rFonts w:ascii="仿宋" w:hAnsi="仿宋" w:eastAsia="仿宋"/>
          <w:sz w:val="32"/>
          <w:szCs w:val="32"/>
        </w:rPr>
        <w:t>自营、加盟等方式布局</w:t>
      </w:r>
      <w:r>
        <w:rPr>
          <w:rFonts w:hint="eastAsia" w:ascii="仿宋" w:hAnsi="仿宋" w:eastAsia="仿宋"/>
          <w:sz w:val="32"/>
          <w:szCs w:val="32"/>
        </w:rPr>
        <w:t>40</w:t>
      </w:r>
      <w:r>
        <w:rPr>
          <w:rFonts w:ascii="仿宋" w:hAnsi="仿宋" w:eastAsia="仿宋"/>
          <w:sz w:val="32"/>
          <w:szCs w:val="32"/>
        </w:rPr>
        <w:t>个</w:t>
      </w:r>
      <w:r>
        <w:rPr>
          <w:rFonts w:hint="eastAsia" w:ascii="仿宋" w:hAnsi="仿宋" w:eastAsia="仿宋"/>
          <w:sz w:val="32"/>
          <w:szCs w:val="32"/>
        </w:rPr>
        <w:t>23</w:t>
      </w:r>
      <w:r>
        <w:rPr>
          <w:rFonts w:ascii="仿宋" w:hAnsi="仿宋" w:eastAsia="仿宋"/>
          <w:sz w:val="32"/>
          <w:szCs w:val="32"/>
        </w:rPr>
        <w:t>万</w:t>
      </w:r>
      <w:r>
        <w:rPr>
          <w:rFonts w:hint="eastAsia" w:ascii="仿宋" w:hAnsi="仿宋" w:eastAsia="仿宋" w:cs="Segoe UI Symbol"/>
          <w:sz w:val="32"/>
          <w:szCs w:val="32"/>
        </w:rPr>
        <w:t>㎡</w:t>
      </w:r>
      <w:r>
        <w:rPr>
          <w:rFonts w:ascii="仿宋" w:hAnsi="仿宋" w:eastAsia="仿宋"/>
          <w:sz w:val="32"/>
          <w:szCs w:val="32"/>
        </w:rPr>
        <w:t>海外仓。</w:t>
      </w:r>
      <w:r>
        <w:rPr>
          <w:rFonts w:hint="eastAsia" w:ascii="仿宋" w:hAnsi="仿宋" w:eastAsia="仿宋"/>
          <w:sz w:val="32"/>
          <w:szCs w:val="32"/>
        </w:rPr>
        <w:t>场街发展初步形成良性互动，全市有</w:t>
      </w:r>
      <w:r>
        <w:rPr>
          <w:rFonts w:ascii="仿宋" w:hAnsi="仿宋" w:eastAsia="仿宋"/>
          <w:sz w:val="32"/>
          <w:szCs w:val="32"/>
        </w:rPr>
        <w:t>17</w:t>
      </w:r>
      <w:r>
        <w:rPr>
          <w:rFonts w:hint="eastAsia" w:ascii="仿宋" w:hAnsi="仿宋" w:eastAsia="仿宋"/>
          <w:sz w:val="32"/>
          <w:szCs w:val="32"/>
        </w:rPr>
        <w:t>条经营饰品配件、围巾、圣诞用品、汽车用品、纺织品、皮革、库存品等品类的主要专业街，累计交易额达344.8亿元，增加56.45亿元，年均增速4.6%。</w:t>
      </w:r>
    </w:p>
    <w:p>
      <w:pPr>
        <w:snapToGrid w:val="0"/>
        <w:spacing w:line="580" w:lineRule="exact"/>
        <w:ind w:firstLine="643" w:firstLineChars="200"/>
        <w:rPr>
          <w:rFonts w:ascii="仿宋" w:hAnsi="仿宋" w:eastAsia="仿宋"/>
          <w:sz w:val="32"/>
          <w:szCs w:val="32"/>
        </w:rPr>
      </w:pPr>
      <w:r>
        <w:rPr>
          <w:rFonts w:hint="eastAsia" w:ascii="仿宋" w:hAnsi="仿宋" w:eastAsia="仿宋" w:cs="宋体"/>
          <w:b/>
          <w:sz w:val="32"/>
          <w:szCs w:val="20"/>
        </w:rPr>
        <w:t>支撑体系更加完善。</w:t>
      </w:r>
      <w:r>
        <w:rPr>
          <w:rFonts w:hint="eastAsia" w:ascii="仿宋" w:hAnsi="仿宋" w:eastAsia="仿宋"/>
          <w:sz w:val="32"/>
          <w:szCs w:val="32"/>
        </w:rPr>
        <w:t>市场活力不断增强，市场主体总量再创新高，达56.9万户，占全省的1/13；近一半市场经营户“新品销售额占比超20%”。创新开展了进口保税货物与义乌小商品集拼转口、“义新欧”进口货物铁海联运转口以及小商品出口退运货物再转口等多种转口业务，保税进口业务量居全国第三批跨境电商综试区第一。获批“单一窗口”铁路运输试点，义新欧班列开行突破1000列，辐射网络持续提升，实现常态化运邮。义甬舟海铁联运班列运量全国第一。邮政和快递业务量跃居全国第二。投用冰鲜水产品、水果口岸；开通柬埔寨、俄罗斯航班及韩国、日本货运包机，落地萧山机场首个“异地货站”；义乌机场客流量突破200万人次，迈入中型机场行列。义博会、文交会、旅博会、森博会等大型展会品牌进一步打响，义博会成为全国首个植入标准化元素的国际展览，进口商品博览会成功列入省重点支持展会。获“2019年度中国最具影响力会展名城”。深化服务业强市试点，扎实推进物流出城入园。投用国内公路港一期、青口物流中心、福田物流中心，同城配送平台上线运行，物流“最后一公里”顺利打通。获评全省批发零售业改造提升成效明显县市。</w:t>
      </w:r>
    </w:p>
    <w:p>
      <w:pPr>
        <w:snapToGrid w:val="0"/>
        <w:spacing w:line="580" w:lineRule="exact"/>
        <w:rPr>
          <w:rFonts w:ascii="仿宋_GB2312" w:hAnsi="仿宋" w:eastAsia="仿宋_GB2312"/>
          <w:sz w:val="32"/>
          <w:szCs w:val="32"/>
        </w:rPr>
      </w:pPr>
    </w:p>
    <w:p>
      <w:pPr>
        <w:spacing w:line="360" w:lineRule="auto"/>
        <w:jc w:val="center"/>
        <w:rPr>
          <w:rFonts w:ascii="黑体" w:hAnsi="黑体" w:eastAsia="黑体"/>
          <w:sz w:val="28"/>
          <w:szCs w:val="28"/>
        </w:rPr>
      </w:pPr>
      <w:r>
        <w:drawing>
          <wp:inline distT="0" distB="0" distL="0" distR="0">
            <wp:extent cx="5278120" cy="3078480"/>
            <wp:effectExtent l="0" t="0" r="17780" b="76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napToGrid w:val="0"/>
        <w:spacing w:line="58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图2</w:t>
      </w:r>
      <w:r>
        <w:rPr>
          <w:rFonts w:ascii="黑体" w:hAnsi="黑体" w:eastAsia="黑体"/>
          <w:color w:val="000000" w:themeColor="text1"/>
          <w:sz w:val="28"/>
          <w:szCs w:val="28"/>
        </w:rPr>
        <w:t xml:space="preserve"> “十三五”期间义乌商贸物流量情况</w:t>
      </w:r>
    </w:p>
    <w:p>
      <w:pPr>
        <w:snapToGrid w:val="0"/>
        <w:spacing w:line="580" w:lineRule="exact"/>
        <w:rPr>
          <w:rFonts w:ascii="仿宋_GB2312" w:hAnsi="仿宋" w:eastAsia="仿宋_GB2312"/>
          <w:sz w:val="32"/>
          <w:szCs w:val="32"/>
        </w:rPr>
      </w:pPr>
    </w:p>
    <w:p>
      <w:pPr>
        <w:snapToGrid w:val="0"/>
        <w:spacing w:line="580" w:lineRule="exact"/>
        <w:ind w:firstLine="643" w:firstLineChars="200"/>
        <w:rPr>
          <w:rFonts w:ascii="仿宋" w:hAnsi="仿宋" w:eastAsia="仿宋"/>
          <w:sz w:val="32"/>
          <w:szCs w:val="32"/>
        </w:rPr>
      </w:pPr>
      <w:bookmarkStart w:id="16" w:name="_Toc58739897"/>
      <w:bookmarkStart w:id="17" w:name="_Toc59151844"/>
      <w:r>
        <w:rPr>
          <w:rFonts w:hint="eastAsia" w:ascii="仿宋" w:hAnsi="仿宋" w:eastAsia="仿宋" w:cs="宋体"/>
          <w:b/>
          <w:sz w:val="32"/>
          <w:szCs w:val="20"/>
        </w:rPr>
        <w:t>线上线下联动增强。“</w:t>
      </w:r>
      <w:r>
        <w:rPr>
          <w:rFonts w:hint="eastAsia" w:ascii="仿宋" w:hAnsi="仿宋" w:eastAsia="仿宋"/>
          <w:sz w:val="32"/>
          <w:szCs w:val="32"/>
        </w:rPr>
        <w:t>十三五”期间，义乌市场数字化水平不断提高，通过“义乌购”把小商品市场推到线上，市场内7.5万个商铺全部上线，开启了义乌实体市场集体上网的全新时代。打造大数据支撑、网络化共享、智能化协作的智慧供应链体系，实现市场发展由产品供给向“产品+服务”转变。2020年10月，线上综合贸易服务平台Chinagoods正式上线运行，实现电商与实体市场双向“引流”，深度服务采购商和经营户。搭建电商园区平台促进实体市场发展，全市共有电子商务园区35个，建筑面积超过200万平方米，聚集各类电商企业超1500家。2019年，义乌邮政和快递业务量达49.9亿件，跃居全国第二，入选全国快递示范城市。网红经济、社交电商与实体市场加速融合，网红直播销售额约占全国的1/20。以“网红直播第一村”北下朱为代表的直播电商村发展迅猛，直播电商“村+园区+基地”的产业发展格局初步形成。</w:t>
      </w:r>
    </w:p>
    <w:p>
      <w:pPr>
        <w:snapToGrid w:val="0"/>
        <w:spacing w:line="580" w:lineRule="exact"/>
        <w:ind w:firstLine="643" w:firstLineChars="200"/>
        <w:rPr>
          <w:rFonts w:ascii="仿宋" w:hAnsi="仿宋" w:eastAsia="仿宋"/>
          <w:bCs/>
          <w:sz w:val="32"/>
          <w:szCs w:val="32"/>
        </w:rPr>
      </w:pPr>
      <w:r>
        <w:rPr>
          <w:rFonts w:hint="eastAsia" w:ascii="仿宋" w:hAnsi="仿宋" w:eastAsia="仿宋" w:cs="宋体"/>
          <w:b/>
          <w:sz w:val="32"/>
          <w:szCs w:val="20"/>
        </w:rPr>
        <w:t>营商环境持续优化。</w:t>
      </w:r>
      <w:r>
        <w:rPr>
          <w:rFonts w:hint="eastAsia" w:ascii="仿宋" w:hAnsi="仿宋" w:eastAsia="仿宋"/>
          <w:sz w:val="32"/>
          <w:szCs w:val="32"/>
        </w:rPr>
        <w:t>国际贸易综合改革试验区获批，共复制推广自贸区经验131项，形成创新案例100项，小商品集拼转口业务实现零的突破。义乌综保区获批，全</w:t>
      </w:r>
      <w:r>
        <w:rPr>
          <w:rFonts w:ascii="仿宋" w:hAnsi="仿宋" w:eastAsia="仿宋"/>
          <w:sz w:val="32"/>
          <w:szCs w:val="32"/>
        </w:rPr>
        <w:t>力打造数字综保区</w:t>
      </w:r>
      <w:r>
        <w:rPr>
          <w:rFonts w:hint="eastAsia" w:ascii="仿宋" w:hAnsi="仿宋" w:eastAsia="仿宋"/>
          <w:sz w:val="32"/>
          <w:szCs w:val="32"/>
        </w:rPr>
        <w:t>，eWTP全球创新中心落户义乌，设立卢旺达、埃塞俄比亚枢纽，菜鸟保税仓启用，“市场采购+跨境电商”出口新模式走通。深化“最多跑一次”改革，成为全国营商环境评价试点唯一县级市，获评全国营商环境特色50强。推进义乌商事登记改革，努力把义乌打造成“审批最快、服务最优、保障最好”的示范区。</w:t>
      </w:r>
      <w:r>
        <w:rPr>
          <w:rFonts w:hint="eastAsia" w:ascii="仿宋" w:hAnsi="仿宋" w:eastAsia="仿宋"/>
          <w:bCs/>
          <w:sz w:val="32"/>
          <w:szCs w:val="32"/>
        </w:rPr>
        <w:t>全面启动商位要素改革，结合Chinagoods平台，建立健全分类分档、公开排序、动态管理的商位综合评价机制，促进市场持续繁荣发展。</w:t>
      </w:r>
      <w:r>
        <w:rPr>
          <w:rFonts w:ascii="仿宋" w:hAnsi="仿宋" w:eastAsia="仿宋"/>
          <w:sz w:val="32"/>
          <w:szCs w:val="32"/>
        </w:rPr>
        <w:t>实施百项信用应用</w:t>
      </w:r>
      <w:r>
        <w:rPr>
          <w:rFonts w:ascii="仿宋" w:hAnsi="仿宋" w:eastAsia="仿宋"/>
          <w:sz w:val="32"/>
        </w:rPr>
        <w:t>场景</w:t>
      </w:r>
      <w:r>
        <w:rPr>
          <w:rFonts w:ascii="仿宋" w:hAnsi="仿宋" w:eastAsia="仿宋"/>
          <w:sz w:val="32"/>
          <w:szCs w:val="32"/>
        </w:rPr>
        <w:t>，建成覆盖全市所有市场主体和个人的信用体系。</w:t>
      </w:r>
      <w:bookmarkEnd w:id="16"/>
      <w:bookmarkEnd w:id="17"/>
      <w:r>
        <w:rPr>
          <w:rFonts w:hint="eastAsia" w:ascii="仿宋" w:hAnsi="仿宋" w:eastAsia="仿宋"/>
          <w:sz w:val="32"/>
          <w:szCs w:val="32"/>
        </w:rPr>
        <w:t>制定团体标准11个，实现行业亮标全覆盖。</w:t>
      </w:r>
      <w:r>
        <w:rPr>
          <w:rFonts w:hint="eastAsia" w:ascii="仿宋" w:hAnsi="仿宋" w:eastAsia="仿宋"/>
          <w:bCs/>
          <w:sz w:val="32"/>
          <w:szCs w:val="32"/>
        </w:rPr>
        <w:t>设立行业单品研发中心，Chinagoods平台“设计进市场”专区引入设计机构（设计师）40家。</w:t>
      </w:r>
    </w:p>
    <w:p>
      <w:pPr>
        <w:snapToGrid w:val="0"/>
        <w:spacing w:line="580" w:lineRule="exact"/>
        <w:rPr>
          <w:rFonts w:ascii="仿宋_GB2312" w:hAnsi="仿宋" w:eastAsia="仿宋_GB2312"/>
          <w:sz w:val="32"/>
          <w:szCs w:val="32"/>
        </w:rPr>
      </w:pPr>
    </w:p>
    <w:p>
      <w:pPr>
        <w:pStyle w:val="3"/>
        <w:spacing w:before="120" w:after="120" w:line="560" w:lineRule="exact"/>
        <w:ind w:firstLine="643" w:firstLineChars="200"/>
        <w:rPr>
          <w:rFonts w:ascii="楷体_GB2312" w:eastAsia="楷体_GB2312"/>
          <w:bCs w:val="0"/>
          <w:kern w:val="0"/>
          <w:szCs w:val="20"/>
        </w:rPr>
      </w:pPr>
      <w:bookmarkStart w:id="18" w:name="_Toc61205003"/>
      <w:r>
        <w:rPr>
          <w:rFonts w:hint="eastAsia" w:ascii="楷体_GB2312" w:eastAsia="楷体_GB2312"/>
          <w:bCs w:val="0"/>
          <w:kern w:val="0"/>
          <w:szCs w:val="20"/>
        </w:rPr>
        <w:t>（二）存在问题</w:t>
      </w:r>
      <w:bookmarkEnd w:id="18"/>
    </w:p>
    <w:p>
      <w:pPr>
        <w:ind w:firstLine="707" w:firstLineChars="221"/>
        <w:rPr>
          <w:rFonts w:ascii="仿宋" w:hAnsi="仿宋" w:eastAsia="仿宋" w:cs="宋体"/>
          <w:sz w:val="32"/>
          <w:szCs w:val="20"/>
        </w:rPr>
      </w:pPr>
      <w:r>
        <w:rPr>
          <w:rFonts w:hint="eastAsia" w:ascii="仿宋" w:hAnsi="仿宋" w:eastAsia="仿宋" w:cs="宋体"/>
          <w:sz w:val="32"/>
          <w:szCs w:val="20"/>
        </w:rPr>
        <w:t>义乌市场面临前无标杆、后有“追兵”、不进则退的压力，回答“义乌市场之问”（义乌市场领先优势能够坚持多久），亟待突破一些制约义乌市场创新发展的瓶颈和短板。</w:t>
      </w:r>
    </w:p>
    <w:p>
      <w:pPr>
        <w:ind w:firstLine="710" w:firstLineChars="221"/>
        <w:rPr>
          <w:rFonts w:ascii="仿宋" w:hAnsi="仿宋" w:eastAsia="仿宋" w:cs="宋体"/>
          <w:sz w:val="32"/>
          <w:szCs w:val="20"/>
        </w:rPr>
      </w:pPr>
      <w:r>
        <w:rPr>
          <w:rFonts w:hint="eastAsia" w:ascii="楷体" w:hAnsi="楷体" w:eastAsia="楷体" w:cs="宋体"/>
          <w:b/>
          <w:sz w:val="32"/>
          <w:szCs w:val="20"/>
        </w:rPr>
        <w:t>市场发展的系统观念有待加强。</w:t>
      </w:r>
      <w:r>
        <w:rPr>
          <w:rFonts w:hint="eastAsia" w:ascii="仿宋" w:hAnsi="仿宋" w:eastAsia="仿宋" w:cs="宋体"/>
          <w:sz w:val="32"/>
          <w:szCs w:val="20"/>
        </w:rPr>
        <w:t>作为引领全球小商品市场发展的市场标杆，义乌市场创新发展需要加强前瞻性思考、全局性谋划、战略性布局、整体性推进，进一步把握、顺应、引领市场发展趋势。</w:t>
      </w:r>
    </w:p>
    <w:p>
      <w:pPr>
        <w:ind w:firstLine="710" w:firstLineChars="221"/>
        <w:rPr>
          <w:rFonts w:ascii="仿宋" w:hAnsi="仿宋" w:eastAsia="仿宋" w:cs="宋体"/>
          <w:sz w:val="32"/>
          <w:szCs w:val="20"/>
        </w:rPr>
      </w:pPr>
      <w:r>
        <w:rPr>
          <w:rFonts w:hint="eastAsia" w:ascii="楷体" w:hAnsi="楷体" w:eastAsia="楷体" w:cs="宋体"/>
          <w:b/>
          <w:sz w:val="32"/>
          <w:szCs w:val="20"/>
        </w:rPr>
        <w:t>市场发展的产业支撑有待强化。</w:t>
      </w:r>
      <w:r>
        <w:rPr>
          <w:rFonts w:hint="eastAsia" w:ascii="仿宋" w:hAnsi="仿宋" w:eastAsia="仿宋" w:cs="宋体"/>
          <w:sz w:val="32"/>
          <w:szCs w:val="20"/>
        </w:rPr>
        <w:t>近年来，随着工业区有机更新和招大引强，以及劳动力、土地价格等要素和环保压力的不断上升，围绕小商品加工的生产型企业不断外迁，导致部分采购商、供应链的同步转移，而且场街联动发展机制尚未完全形成，义乌市场产业支撑优势有所弱化。而且，随着新兴市场崛起，部分下游市场与义乌市场的依存度有所下降。</w:t>
      </w:r>
    </w:p>
    <w:p>
      <w:pPr>
        <w:ind w:firstLine="710" w:firstLineChars="221"/>
        <w:rPr>
          <w:rFonts w:ascii="仿宋" w:hAnsi="仿宋" w:eastAsia="仿宋" w:cs="宋体"/>
          <w:sz w:val="32"/>
          <w:szCs w:val="20"/>
        </w:rPr>
      </w:pPr>
      <w:r>
        <w:rPr>
          <w:rFonts w:hint="eastAsia" w:ascii="楷体" w:hAnsi="楷体" w:eastAsia="楷体" w:cs="宋体"/>
          <w:b/>
          <w:sz w:val="32"/>
          <w:szCs w:val="20"/>
        </w:rPr>
        <w:t>市场发展数字化水平有待提升。</w:t>
      </w:r>
      <w:r>
        <w:rPr>
          <w:rFonts w:hint="eastAsia" w:ascii="仿宋" w:hAnsi="仿宋" w:eastAsia="仿宋" w:cs="宋体"/>
          <w:sz w:val="32"/>
          <w:szCs w:val="20"/>
        </w:rPr>
        <w:t>虽然义乌实体市场与线上市场都取得较好发展，但也一定程度上存在“两层皮”问题，市场数字化发展体系、市场数字化服务体系尚不健全，创新、设计、研发支撑不足，对上下游采购商的赋能仍然较弱，部分线上交易并非通过市场进行，大量数字化业务外流，线上线下两个市场尚未实现深度融合。</w:t>
      </w:r>
    </w:p>
    <w:p>
      <w:pPr>
        <w:ind w:firstLine="710" w:firstLineChars="221"/>
        <w:rPr>
          <w:rFonts w:ascii="仿宋" w:hAnsi="仿宋" w:eastAsia="仿宋" w:cs="宋体"/>
          <w:sz w:val="32"/>
          <w:szCs w:val="20"/>
        </w:rPr>
      </w:pPr>
      <w:r>
        <w:rPr>
          <w:rFonts w:hint="eastAsia" w:ascii="楷体" w:hAnsi="楷体" w:eastAsia="楷体" w:cs="宋体"/>
          <w:b/>
          <w:sz w:val="32"/>
          <w:szCs w:val="20"/>
        </w:rPr>
        <w:t>市场布局和要素支撑有待优化。</w:t>
      </w:r>
      <w:r>
        <w:rPr>
          <w:rFonts w:hint="eastAsia" w:ascii="仿宋" w:hAnsi="仿宋" w:eastAsia="仿宋" w:cs="宋体"/>
          <w:sz w:val="32"/>
          <w:szCs w:val="20"/>
        </w:rPr>
        <w:t>市场周边布局仓储基地、物流中心等配套设施尚不健全。市场商位资源和价值固化，出现“商位持有者不经营，实际经营者无商位”的矛盾。与全国其他龙头市场相比，义乌市场的坪效明显较低，需要培育新业态、引进新主体，推动义乌市场发展空间的合理调整。部分市场经营主体习惯于守株待兔式的“坐商”，而且</w:t>
      </w:r>
      <w:r>
        <w:rPr>
          <w:rFonts w:ascii="仿宋" w:hAnsi="仿宋" w:eastAsia="仿宋" w:cs="宋体"/>
          <w:sz w:val="32"/>
          <w:szCs w:val="20"/>
        </w:rPr>
        <w:t>经营理念陈旧，贸易风险防范意识和能力较弱，</w:t>
      </w:r>
      <w:r>
        <w:rPr>
          <w:rFonts w:hint="eastAsia" w:ascii="仿宋" w:hAnsi="仿宋" w:eastAsia="仿宋" w:cs="宋体"/>
          <w:sz w:val="32"/>
          <w:szCs w:val="20"/>
        </w:rPr>
        <w:t>品牌建设能力、营销推广能力和渠道拓展能力相对不足。</w:t>
      </w:r>
    </w:p>
    <w:p>
      <w:pPr>
        <w:snapToGrid w:val="0"/>
        <w:spacing w:line="580" w:lineRule="exact"/>
        <w:ind w:firstLine="640" w:firstLineChars="200"/>
        <w:rPr>
          <w:rFonts w:ascii="仿宋" w:hAnsi="仿宋" w:eastAsia="仿宋"/>
          <w:sz w:val="32"/>
          <w:szCs w:val="32"/>
        </w:rPr>
      </w:pPr>
      <w:bookmarkStart w:id="19" w:name="_Toc61205004"/>
    </w:p>
    <w:p>
      <w:pPr>
        <w:pStyle w:val="2"/>
        <w:spacing w:before="120" w:after="120" w:line="660" w:lineRule="exact"/>
        <w:ind w:firstLine="720" w:firstLineChars="200"/>
        <w:rPr>
          <w:rFonts w:ascii="黑体" w:hAnsi="黑体" w:eastAsia="黑体" w:cs="Times New Roman"/>
          <w:b w:val="0"/>
          <w:sz w:val="36"/>
          <w:szCs w:val="36"/>
        </w:rPr>
      </w:pPr>
      <w:r>
        <w:rPr>
          <w:rFonts w:hint="eastAsia" w:ascii="黑体" w:hAnsi="黑体" w:eastAsia="黑体" w:cs="Times New Roman"/>
          <w:b w:val="0"/>
          <w:sz w:val="36"/>
          <w:szCs w:val="36"/>
        </w:rPr>
        <w:t>二、发展环境</w:t>
      </w:r>
      <w:bookmarkEnd w:id="19"/>
    </w:p>
    <w:p>
      <w:pPr>
        <w:pStyle w:val="28"/>
        <w:ind w:firstLine="643"/>
        <w:rPr>
          <w:rFonts w:ascii="楷体" w:hAnsi="楷体" w:eastAsia="楷体"/>
        </w:rPr>
      </w:pPr>
      <w:bookmarkStart w:id="20" w:name="_Toc51886303"/>
      <w:bookmarkStart w:id="21" w:name="_Toc58739899"/>
      <w:bookmarkStart w:id="22" w:name="_Toc59151846"/>
      <w:bookmarkStart w:id="23" w:name="_Toc61205005"/>
      <w:r>
        <w:rPr>
          <w:rFonts w:hint="eastAsia" w:ascii="楷体" w:hAnsi="楷体" w:eastAsia="楷体"/>
        </w:rPr>
        <w:t>（一）</w:t>
      </w:r>
      <w:bookmarkEnd w:id="20"/>
      <w:r>
        <w:rPr>
          <w:rFonts w:hint="eastAsia" w:ascii="楷体" w:hAnsi="楷体" w:eastAsia="楷体"/>
        </w:rPr>
        <w:t>国际环境</w:t>
      </w:r>
      <w:bookmarkEnd w:id="21"/>
      <w:bookmarkEnd w:id="22"/>
      <w:bookmarkEnd w:id="23"/>
    </w:p>
    <w:p>
      <w:pPr>
        <w:ind w:firstLine="710" w:firstLineChars="221"/>
        <w:rPr>
          <w:rFonts w:ascii="仿宋" w:hAnsi="仿宋" w:eastAsia="仿宋" w:cs="宋体"/>
          <w:sz w:val="32"/>
          <w:szCs w:val="20"/>
        </w:rPr>
      </w:pPr>
      <w:r>
        <w:rPr>
          <w:rFonts w:hint="eastAsia" w:ascii="楷体" w:hAnsi="楷体" w:eastAsia="楷体" w:cs="宋体"/>
          <w:b/>
          <w:sz w:val="32"/>
          <w:szCs w:val="20"/>
        </w:rPr>
        <w:t>百年未有之大变局中全球市场发展面临深刻调整。</w:t>
      </w:r>
      <w:r>
        <w:rPr>
          <w:rFonts w:hint="eastAsia" w:ascii="仿宋" w:hAnsi="仿宋" w:eastAsia="仿宋" w:cs="宋体"/>
          <w:sz w:val="32"/>
          <w:szCs w:val="20"/>
        </w:rPr>
        <w:t>当今世界正经历百年未有之大变局，贸易保护主义、单边主义、民粹主义有所抬头，全球经济社会发展不稳定不确定因素明显增多。特别是，针对我国的国际贸易保护与国际贸易隔离有可能还会持续较长时间。当前，新冠疫情仍在全球大范围蔓延，倘若全球疫情持续较长时间，并呈现反复拉锯状态，国际往来、海外站点短期停摆的不可控风险加大，全球市场发展格局将面临深刻调整。义乌市场外贸量占较高，美国等西方发达国家又是义乌小商品出口的主要目的地。复杂多变的外部国际环境，对义乌传统外贸市场产生较大冲击，外部市场格局调整压力较大，这些都对义乌市场转型提升和贸易弹性及韧性提出了新要求。</w:t>
      </w:r>
    </w:p>
    <w:p>
      <w:pPr>
        <w:ind w:firstLine="710" w:firstLineChars="221"/>
        <w:rPr>
          <w:rFonts w:ascii="仿宋" w:hAnsi="仿宋" w:eastAsia="仿宋" w:cs="宋体"/>
          <w:sz w:val="32"/>
          <w:szCs w:val="20"/>
        </w:rPr>
      </w:pPr>
      <w:r>
        <w:rPr>
          <w:rFonts w:hint="eastAsia" w:ascii="楷体" w:hAnsi="楷体" w:eastAsia="楷体" w:cs="宋体"/>
          <w:b/>
          <w:sz w:val="32"/>
          <w:szCs w:val="20"/>
        </w:rPr>
        <w:t>区域经济一体化发展中市场格局面临深刻调整。</w:t>
      </w:r>
      <w:r>
        <w:rPr>
          <w:rFonts w:hint="eastAsia" w:ascii="仿宋" w:hAnsi="仿宋" w:eastAsia="仿宋" w:cs="宋体"/>
          <w:sz w:val="32"/>
          <w:szCs w:val="20"/>
        </w:rPr>
        <w:t>区域经济一体化成为各国应对“逆全球化”、扩大对外经贸合作的战略举措，全球已初步形成了欧洲、北美、东亚三大区域市场相互竞争合作的格局。英国脱欧、美墨加三国协议（USMCA）正式签署生效，美日、美欧、美英、英欧等自由贸易协定谈判正在推进。区域全面经济伙伴关系协定（RCEP）正式签署、中欧全面投资协定（中欧CAI）谈判如期完成，中、日、韩自由贸易协定谈判也已启动，中国正积极考虑加入《全面与进步跨太平洋伙伴关系协定》（</w:t>
      </w:r>
      <w:r>
        <w:rPr>
          <w:rFonts w:ascii="仿宋" w:hAnsi="仿宋" w:eastAsia="仿宋" w:cs="宋体"/>
          <w:sz w:val="32"/>
          <w:szCs w:val="20"/>
        </w:rPr>
        <w:t>CPTPP</w:t>
      </w:r>
      <w:r>
        <w:rPr>
          <w:rFonts w:hint="eastAsia" w:ascii="仿宋" w:hAnsi="仿宋" w:eastAsia="仿宋" w:cs="宋体"/>
          <w:sz w:val="32"/>
          <w:szCs w:val="20"/>
        </w:rPr>
        <w:t>）。区域一体化合作推进加速、区域间合作调整加快，均将为义乌外贸市场全球布局调整带来了挑战，也带来了难得的时代机遇和新的拓展空间。</w:t>
      </w:r>
    </w:p>
    <w:p>
      <w:pPr>
        <w:ind w:firstLine="710" w:firstLineChars="221"/>
        <w:rPr>
          <w:rFonts w:ascii="仿宋" w:hAnsi="仿宋" w:eastAsia="仿宋" w:cs="宋体"/>
          <w:sz w:val="32"/>
          <w:szCs w:val="20"/>
        </w:rPr>
      </w:pPr>
      <w:r>
        <w:rPr>
          <w:rFonts w:hint="eastAsia" w:ascii="楷体" w:hAnsi="楷体" w:eastAsia="楷体" w:cs="宋体"/>
          <w:b/>
          <w:sz w:val="32"/>
          <w:szCs w:val="20"/>
        </w:rPr>
        <w:t>新一轮科技和产业变革中市场创新发展面临新空间。</w:t>
      </w:r>
      <w:r>
        <w:rPr>
          <w:rFonts w:hint="eastAsia" w:ascii="仿宋" w:hAnsi="仿宋" w:eastAsia="仿宋" w:cs="宋体"/>
          <w:sz w:val="32"/>
          <w:szCs w:val="20"/>
        </w:rPr>
        <w:t>技术创新和应用进入新阶段，新一轮科技革命和产业奇点加速到来，市场发展动态竞争和数字化竞争趋势明显。各国鼓励本土化、打造本国完整独立的产业链，新兴国家和经济体产业能力不断增强，全球市场采购的小单化、碎片化、数字化趋势明显。全球产业格局调整加快，多中心化布局加速形成。国际贸易合作伙伴行为相互依赖弱化、信任度受到政治因素影响加大。这些均对义乌市场的技术性创新和产业链打造提出新要求，也为义乌市场创新发展拓展新空间。</w:t>
      </w:r>
    </w:p>
    <w:p>
      <w:pPr>
        <w:pStyle w:val="28"/>
        <w:ind w:firstLine="643"/>
        <w:rPr>
          <w:rFonts w:ascii="楷体" w:hAnsi="楷体" w:eastAsia="楷体"/>
        </w:rPr>
      </w:pPr>
      <w:bookmarkStart w:id="24" w:name="_Toc58739900"/>
      <w:bookmarkStart w:id="25" w:name="_Toc59151847"/>
      <w:bookmarkStart w:id="26" w:name="_Toc61205006"/>
      <w:r>
        <w:rPr>
          <w:rFonts w:hint="eastAsia" w:ascii="楷体" w:hAnsi="楷体" w:eastAsia="楷体"/>
        </w:rPr>
        <w:t>（二）国内环境</w:t>
      </w:r>
      <w:bookmarkEnd w:id="24"/>
      <w:bookmarkEnd w:id="25"/>
      <w:bookmarkEnd w:id="26"/>
    </w:p>
    <w:p>
      <w:pPr>
        <w:ind w:firstLine="710" w:firstLineChars="221"/>
        <w:rPr>
          <w:rFonts w:ascii="仿宋" w:hAnsi="仿宋" w:eastAsia="仿宋" w:cs="宋体"/>
          <w:sz w:val="32"/>
          <w:szCs w:val="20"/>
        </w:rPr>
      </w:pPr>
      <w:r>
        <w:rPr>
          <w:rFonts w:hint="eastAsia" w:ascii="楷体" w:hAnsi="楷体" w:eastAsia="楷体" w:cs="宋体"/>
          <w:b/>
          <w:sz w:val="32"/>
          <w:szCs w:val="20"/>
        </w:rPr>
        <w:t>“双循环”为义乌市场发展提出新要求、提供新机遇。</w:t>
      </w:r>
      <w:r>
        <w:rPr>
          <w:rFonts w:hint="eastAsia" w:ascii="仿宋" w:hAnsi="仿宋" w:eastAsia="仿宋" w:cs="宋体"/>
          <w:sz w:val="32"/>
          <w:szCs w:val="20"/>
        </w:rPr>
        <w:t>我国已基本建成全面小康社会，转入高质量发展阶段，进入建设现代化经济体系、推进国家治理体系和治理能力现代化的开局和起步期。改革创新、深化供给侧结构性改革，推动高质量发展，满足人民日益增长的美好生活需要成为高质量发展阶段的根本要求和目标追求。发展现代产业体系，推动经济体系优化升级，形成强大国内市场，构建“双循环”新发展格局、构建现代流通体系成为未来五年高质量发展和现代化建设的重要任务。义乌市场是连接国内国际内外贸供应链的重要平台，处于全球小商品供应链的关键节点，对畅通内循环、提升外循环，服务“双循环”新格局具有举足轻重的地位，备受国家及各级政府重视，政策优势非常显著。</w:t>
      </w:r>
    </w:p>
    <w:p>
      <w:pPr>
        <w:ind w:firstLine="710" w:firstLineChars="221"/>
        <w:rPr>
          <w:rFonts w:ascii="仿宋" w:hAnsi="仿宋" w:eastAsia="仿宋" w:cs="宋体"/>
          <w:sz w:val="32"/>
          <w:szCs w:val="20"/>
        </w:rPr>
      </w:pPr>
      <w:r>
        <w:rPr>
          <w:rFonts w:hint="eastAsia" w:ascii="楷体" w:hAnsi="楷体" w:eastAsia="楷体" w:cs="宋体"/>
          <w:b/>
          <w:sz w:val="32"/>
          <w:szCs w:val="20"/>
        </w:rPr>
        <w:t>“数字化”为义乌市场发展提出新要求、提供新机遇。</w:t>
      </w:r>
      <w:r>
        <w:rPr>
          <w:rFonts w:hint="eastAsia" w:ascii="仿宋" w:hAnsi="仿宋" w:eastAsia="仿宋" w:cs="宋体"/>
          <w:sz w:val="32"/>
          <w:szCs w:val="20"/>
        </w:rPr>
        <w:t>互联网应用普及，市场交易行为数字化趋势更加明显。当前，</w:t>
      </w:r>
      <w:r>
        <w:rPr>
          <w:rFonts w:ascii="仿宋" w:hAnsi="仿宋" w:eastAsia="仿宋" w:cs="宋体"/>
          <w:sz w:val="32"/>
          <w:szCs w:val="20"/>
        </w:rPr>
        <w:t>无论是社会管理、企业生产经营、还是社会团体活动、个人日常生活都很难离开</w:t>
      </w:r>
      <w:r>
        <w:rPr>
          <w:rFonts w:hint="eastAsia" w:ascii="仿宋" w:hAnsi="仿宋" w:eastAsia="仿宋" w:cs="宋体"/>
          <w:sz w:val="32"/>
          <w:szCs w:val="20"/>
        </w:rPr>
        <w:t>互联网信息技术的支持。网上营销、网上交易等数字化运营方式以及电商平台资源和支持举措正在吸引消费者行为转变；网络市场对经济交易活动的影响日益凸显，正在成为引领着市场变革方向的重要力量。网络应用的普及和市场交易模式的改变对义乌类型的传统实体商品交易市场的发展带来了市场功能分化挑战，也为传统实体市场依托资源优势转型升级，顺应数字化发展趋势提供了调整方向。</w:t>
      </w:r>
    </w:p>
    <w:p>
      <w:pPr>
        <w:ind w:firstLine="710" w:firstLineChars="221"/>
        <w:rPr>
          <w:rFonts w:ascii="仿宋" w:hAnsi="仿宋" w:eastAsia="仿宋" w:cs="宋体"/>
          <w:sz w:val="32"/>
          <w:szCs w:val="20"/>
        </w:rPr>
      </w:pPr>
      <w:r>
        <w:rPr>
          <w:rFonts w:hint="eastAsia" w:ascii="楷体" w:hAnsi="楷体" w:eastAsia="楷体" w:cs="宋体"/>
          <w:b/>
          <w:sz w:val="32"/>
          <w:szCs w:val="20"/>
        </w:rPr>
        <w:t>“龙头化”为义乌市场发展提出新要求、提供新机遇。</w:t>
      </w:r>
      <w:r>
        <w:rPr>
          <w:rFonts w:hint="eastAsia" w:ascii="仿宋" w:hAnsi="仿宋" w:eastAsia="仿宋" w:cs="宋体"/>
          <w:sz w:val="32"/>
          <w:szCs w:val="20"/>
        </w:rPr>
        <w:t>区域市场龙头化，市场品牌输出连锁化发展趋势明显。我国商品交易市场涌现出常熟服装城、湖南高桥大市场、东方丝绸市场、浙江绍兴轻纺城、北京新发地、河南万邦国际物流城、临沂小商品城、白沟新城等十多家千亿级规模的超大型区域龙头市场。这些市场规模体量大、集聚辐射性强，行业及区域影响力强，具有很强的行业影响力及区域辐射渗透力，带领区域市场向品牌化和创引领升级。区域龙头市场由过去偏重外延扩张转向内涵发展，更加注重品牌打造，塑造市场形象，进行市场品牌输出。市场扩张效应弱化，商户规模化经营动力趋弱。商品交易市场大型化、规模化、综合化一直是市场建设的方向和发展目标，但伴随全国范围内营业面积增加、单位面积营业下降的出现，商品市场供给数量和供给规模均进入饱和状态，市场扩张效应和扩张动力弱化。</w:t>
      </w:r>
    </w:p>
    <w:p>
      <w:pPr>
        <w:pStyle w:val="28"/>
        <w:ind w:firstLine="643"/>
        <w:rPr>
          <w:rFonts w:ascii="楷体" w:hAnsi="楷体" w:eastAsia="楷体"/>
        </w:rPr>
      </w:pPr>
      <w:bookmarkStart w:id="27" w:name="_Toc61205007"/>
      <w:r>
        <w:rPr>
          <w:rFonts w:hint="eastAsia" w:ascii="楷体" w:hAnsi="楷体" w:eastAsia="楷体"/>
        </w:rPr>
        <w:t>（三）义乌环境</w:t>
      </w:r>
      <w:bookmarkEnd w:id="27"/>
    </w:p>
    <w:p>
      <w:pPr>
        <w:ind w:firstLine="710" w:firstLineChars="221"/>
        <w:rPr>
          <w:rFonts w:ascii="仿宋" w:hAnsi="仿宋" w:eastAsia="仿宋" w:cs="宋体"/>
          <w:sz w:val="32"/>
          <w:szCs w:val="20"/>
        </w:rPr>
      </w:pPr>
      <w:r>
        <w:rPr>
          <w:rFonts w:hint="eastAsia" w:ascii="楷体" w:hAnsi="楷体" w:eastAsia="楷体" w:cs="宋体"/>
          <w:b/>
          <w:sz w:val="32"/>
          <w:szCs w:val="20"/>
        </w:rPr>
        <w:t>先行先试政策叠加，市场转型升级迎来新机遇。</w:t>
      </w:r>
      <w:r>
        <w:rPr>
          <w:rFonts w:hint="eastAsia" w:ascii="仿宋" w:hAnsi="仿宋" w:eastAsia="仿宋" w:cs="宋体"/>
          <w:sz w:val="32"/>
          <w:szCs w:val="20"/>
        </w:rPr>
        <w:t>义乌作为浙江自贸区金义片区、</w:t>
      </w:r>
      <w:r>
        <w:rPr>
          <w:rFonts w:ascii="仿宋" w:hAnsi="仿宋" w:eastAsia="仿宋" w:cs="宋体"/>
          <w:sz w:val="32"/>
          <w:szCs w:val="20"/>
        </w:rPr>
        <w:t>eWTP</w:t>
      </w:r>
      <w:r>
        <w:rPr>
          <w:rFonts w:hint="eastAsia" w:ascii="仿宋" w:hAnsi="仿宋" w:eastAsia="仿宋" w:cs="宋体"/>
          <w:sz w:val="32"/>
          <w:szCs w:val="20"/>
        </w:rPr>
        <w:t>先行区、国际贸易综合改革试验区以及</w:t>
      </w:r>
      <w:r>
        <w:rPr>
          <w:rFonts w:hint="cs" w:ascii="仿宋" w:hAnsi="仿宋" w:eastAsia="仿宋" w:cs="宋体"/>
          <w:sz w:val="32"/>
          <w:szCs w:val="20"/>
        </w:rPr>
        <w:t>“</w:t>
      </w:r>
      <w:r>
        <w:rPr>
          <w:rFonts w:hint="eastAsia" w:ascii="仿宋" w:hAnsi="仿宋" w:eastAsia="仿宋" w:cs="宋体"/>
          <w:sz w:val="32"/>
          <w:szCs w:val="20"/>
        </w:rPr>
        <w:t>一带一路</w:t>
      </w:r>
      <w:r>
        <w:rPr>
          <w:rFonts w:hint="cs" w:ascii="仿宋" w:hAnsi="仿宋" w:eastAsia="仿宋" w:cs="宋体"/>
          <w:sz w:val="32"/>
          <w:szCs w:val="20"/>
        </w:rPr>
        <w:t>”</w:t>
      </w:r>
      <w:r>
        <w:rPr>
          <w:rFonts w:hint="eastAsia" w:ascii="仿宋" w:hAnsi="仿宋" w:eastAsia="仿宋" w:cs="宋体"/>
          <w:sz w:val="32"/>
          <w:szCs w:val="20"/>
        </w:rPr>
        <w:t>建设节点城市，是多项</w:t>
      </w:r>
      <w:r>
        <w:rPr>
          <w:rFonts w:hint="cs" w:ascii="仿宋" w:hAnsi="仿宋" w:eastAsia="仿宋" w:cs="宋体"/>
          <w:sz w:val="32"/>
          <w:szCs w:val="20"/>
        </w:rPr>
        <w:t>“</w:t>
      </w:r>
      <w:r>
        <w:rPr>
          <w:rFonts w:hint="eastAsia" w:ascii="仿宋" w:hAnsi="仿宋" w:eastAsia="仿宋" w:cs="宋体"/>
          <w:sz w:val="32"/>
          <w:szCs w:val="20"/>
        </w:rPr>
        <w:t>国字号</w:t>
      </w:r>
      <w:r>
        <w:rPr>
          <w:rFonts w:hint="cs" w:ascii="仿宋" w:hAnsi="仿宋" w:eastAsia="仿宋" w:cs="宋体"/>
          <w:sz w:val="32"/>
          <w:szCs w:val="20"/>
        </w:rPr>
        <w:t>”</w:t>
      </w:r>
      <w:r>
        <w:rPr>
          <w:rFonts w:hint="eastAsia" w:ascii="仿宋" w:hAnsi="仿宋" w:eastAsia="仿宋" w:cs="宋体"/>
          <w:sz w:val="32"/>
          <w:szCs w:val="20"/>
        </w:rPr>
        <w:t>改革试点和省级改革试点的先行区。在自贸区、国际贸易综合改革、市场采购贸易方式、跨境电商、</w:t>
      </w:r>
      <w:r>
        <w:rPr>
          <w:rFonts w:hint="cs" w:ascii="仿宋" w:hAnsi="仿宋" w:eastAsia="仿宋" w:cs="宋体"/>
          <w:sz w:val="32"/>
          <w:szCs w:val="20"/>
        </w:rPr>
        <w:t>“</w:t>
      </w:r>
      <w:r>
        <w:rPr>
          <w:rFonts w:hint="eastAsia" w:ascii="仿宋" w:hAnsi="仿宋" w:eastAsia="仿宋" w:cs="宋体"/>
          <w:sz w:val="32"/>
          <w:szCs w:val="20"/>
        </w:rPr>
        <w:t>一带一路</w:t>
      </w:r>
      <w:r>
        <w:rPr>
          <w:rFonts w:hint="cs" w:ascii="仿宋" w:hAnsi="仿宋" w:eastAsia="仿宋" w:cs="宋体"/>
          <w:sz w:val="32"/>
          <w:szCs w:val="20"/>
        </w:rPr>
        <w:t>”</w:t>
      </w:r>
      <w:r>
        <w:rPr>
          <w:rFonts w:hint="eastAsia" w:ascii="仿宋" w:hAnsi="仿宋" w:eastAsia="仿宋" w:cs="宋体"/>
          <w:sz w:val="32"/>
          <w:szCs w:val="20"/>
        </w:rPr>
        <w:t>建设等方面具有明显的政策叠加红利。义乌市场是《扩区方案》中新型国际贸易中心的重要使命承载地，是引领国际贸易新规则、发展国际贸易新业态新模式、探索新型监管模式的重要践行地，市场的创新发展就是要本着有利于把更多全球商品、商人、资本领取到市场来，吸引更多创新要素、产业要素、市场要素到义乌来，促进市场对接、产业对接、规则对接，将融入双循环与服务新型国际贸易衔接起来。</w:t>
      </w:r>
    </w:p>
    <w:p>
      <w:pPr>
        <w:ind w:firstLine="710" w:firstLineChars="221"/>
        <w:rPr>
          <w:rFonts w:ascii="仿宋" w:hAnsi="仿宋" w:eastAsia="仿宋" w:cs="宋体"/>
          <w:sz w:val="32"/>
          <w:szCs w:val="20"/>
        </w:rPr>
      </w:pPr>
      <w:r>
        <w:rPr>
          <w:rFonts w:hint="eastAsia" w:ascii="楷体" w:hAnsi="楷体" w:eastAsia="楷体" w:cs="宋体"/>
          <w:b/>
          <w:sz w:val="32"/>
          <w:szCs w:val="20"/>
        </w:rPr>
        <w:t>融入大都市区建设，市场发展空间进一步打开。</w:t>
      </w:r>
      <w:r>
        <w:rPr>
          <w:rFonts w:hint="eastAsia" w:ascii="仿宋" w:hAnsi="仿宋" w:eastAsia="仿宋" w:cs="宋体"/>
          <w:sz w:val="32"/>
          <w:szCs w:val="20"/>
        </w:rPr>
        <w:t>义乌加快突破</w:t>
      </w:r>
      <w:r>
        <w:rPr>
          <w:rFonts w:hint="cs" w:ascii="仿宋" w:hAnsi="仿宋" w:eastAsia="仿宋" w:cs="宋体"/>
          <w:sz w:val="32"/>
          <w:szCs w:val="20"/>
        </w:rPr>
        <w:t>“</w:t>
      </w:r>
      <w:r>
        <w:rPr>
          <w:rFonts w:hint="eastAsia" w:ascii="仿宋" w:hAnsi="仿宋" w:eastAsia="仿宋" w:cs="宋体"/>
          <w:sz w:val="32"/>
          <w:szCs w:val="20"/>
        </w:rPr>
        <w:t>县域经济</w:t>
      </w:r>
      <w:r>
        <w:rPr>
          <w:rFonts w:hint="cs" w:ascii="仿宋" w:hAnsi="仿宋" w:eastAsia="仿宋" w:cs="宋体"/>
          <w:sz w:val="32"/>
          <w:szCs w:val="20"/>
        </w:rPr>
        <w:t>”</w:t>
      </w:r>
      <w:r>
        <w:rPr>
          <w:rFonts w:hint="eastAsia" w:ascii="仿宋" w:hAnsi="仿宋" w:eastAsia="仿宋" w:cs="宋体"/>
          <w:sz w:val="32"/>
          <w:szCs w:val="20"/>
        </w:rPr>
        <w:t>既有格局，全面融入大都市区建设，与周边县市的产业协同关系更加紧密，与杭州、宁波等省内区域的联动发展更加深化。尤其是随着</w:t>
      </w:r>
      <w:r>
        <w:rPr>
          <w:rFonts w:hint="cs" w:ascii="仿宋" w:hAnsi="仿宋" w:eastAsia="仿宋" w:cs="宋体"/>
          <w:sz w:val="32"/>
          <w:szCs w:val="20"/>
        </w:rPr>
        <w:t>“</w:t>
      </w:r>
      <w:r>
        <w:rPr>
          <w:rFonts w:hint="eastAsia" w:ascii="仿宋" w:hAnsi="仿宋" w:eastAsia="仿宋" w:cs="宋体"/>
          <w:sz w:val="32"/>
          <w:szCs w:val="20"/>
        </w:rPr>
        <w:t>四大建设</w:t>
      </w:r>
      <w:r>
        <w:rPr>
          <w:rFonts w:hint="cs" w:ascii="仿宋" w:hAnsi="仿宋" w:eastAsia="仿宋" w:cs="宋体"/>
          <w:sz w:val="32"/>
          <w:szCs w:val="20"/>
        </w:rPr>
        <w:t>”</w:t>
      </w:r>
      <w:r>
        <w:rPr>
          <w:rFonts w:hint="eastAsia" w:ascii="仿宋" w:hAnsi="仿宋" w:eastAsia="仿宋" w:cs="宋体"/>
          <w:sz w:val="32"/>
          <w:szCs w:val="20"/>
        </w:rPr>
        <w:t>的深入推进，义甬舟大通道的深化建设、金义都市区的全面打造，市场发展所需的资源要素、人才要素、资金要素得到更快补充，民生消费进一步提高，市场发展的空间进一步打开，</w:t>
      </w:r>
      <w:r>
        <w:rPr>
          <w:rFonts w:hint="cs" w:ascii="仿宋" w:hAnsi="仿宋" w:eastAsia="仿宋" w:cs="宋体"/>
          <w:sz w:val="32"/>
          <w:szCs w:val="20"/>
        </w:rPr>
        <w:t>“</w:t>
      </w:r>
      <w:r>
        <w:rPr>
          <w:rFonts w:hint="eastAsia" w:ascii="仿宋" w:hAnsi="仿宋" w:eastAsia="仿宋" w:cs="宋体"/>
          <w:sz w:val="32"/>
          <w:szCs w:val="20"/>
        </w:rPr>
        <w:t>买全球、卖全球</w:t>
      </w:r>
      <w:r>
        <w:rPr>
          <w:rFonts w:hint="cs" w:ascii="仿宋" w:hAnsi="仿宋" w:eastAsia="仿宋" w:cs="宋体"/>
          <w:sz w:val="32"/>
          <w:szCs w:val="20"/>
        </w:rPr>
        <w:t>”</w:t>
      </w:r>
      <w:r>
        <w:rPr>
          <w:rFonts w:hint="eastAsia" w:ascii="仿宋" w:hAnsi="仿宋" w:eastAsia="仿宋" w:cs="宋体"/>
          <w:sz w:val="32"/>
          <w:szCs w:val="20"/>
        </w:rPr>
        <w:t>的世界级市场平台进一步确立。</w:t>
      </w:r>
    </w:p>
    <w:p>
      <w:pPr>
        <w:ind w:firstLine="710" w:firstLineChars="221"/>
        <w:rPr>
          <w:rFonts w:ascii="仿宋" w:hAnsi="仿宋" w:eastAsia="仿宋" w:cs="宋体"/>
          <w:sz w:val="32"/>
          <w:szCs w:val="20"/>
        </w:rPr>
      </w:pPr>
      <w:r>
        <w:rPr>
          <w:rFonts w:hint="eastAsia" w:ascii="楷体" w:hAnsi="楷体" w:eastAsia="楷体" w:cs="宋体"/>
          <w:b/>
          <w:sz w:val="32"/>
          <w:szCs w:val="20"/>
        </w:rPr>
        <w:t>“第六代市场”建设启动，赋能义乌市场创新发展。</w:t>
      </w:r>
      <w:r>
        <w:rPr>
          <w:rFonts w:hint="eastAsia" w:ascii="仿宋" w:hAnsi="仿宋" w:eastAsia="仿宋" w:cs="宋体"/>
          <w:sz w:val="32"/>
          <w:szCs w:val="20"/>
        </w:rPr>
        <w:t>义乌市委第六次全体会暨市政府第五次全体会正式提出“发展第六代市场，积极打造自贸特区”。第六代市场的核心标志是新型进口市场、线上线下数字化联动、货通天下的国际枢纽、是自由贸易，其目标是打造自由市场、进口市场、数字市场、全球市场、创新市场和世界货地，加快建设义新欧、义甬舟开放大通道，发展口岸经济；强化市场</w:t>
      </w:r>
      <w:r>
        <w:rPr>
          <w:rFonts w:ascii="仿宋" w:hAnsi="仿宋" w:eastAsia="仿宋" w:cs="宋体"/>
          <w:sz w:val="32"/>
          <w:szCs w:val="20"/>
        </w:rPr>
        <w:t>+</w:t>
      </w:r>
      <w:r>
        <w:rPr>
          <w:rFonts w:hint="eastAsia" w:ascii="仿宋" w:hAnsi="仿宋" w:eastAsia="仿宋" w:cs="宋体"/>
          <w:sz w:val="32"/>
          <w:szCs w:val="20"/>
        </w:rPr>
        <w:t>制造，其本质要求是围绕以国内大循环为主体、国内国际互促的新发展格局，强化“形态多样化、功能多元化、交易数字化、进出自由化、贸易国际化、结算电子化”。“第六代市场”建设的启动和推进为促进义乌市场创新发展、高质量高标准建设世界“小商品之都大提供了强新动力。</w:t>
      </w:r>
    </w:p>
    <w:p>
      <w:pPr>
        <w:pStyle w:val="2"/>
        <w:spacing w:before="120" w:after="120" w:line="660" w:lineRule="exact"/>
        <w:ind w:firstLine="720" w:firstLineChars="200"/>
        <w:rPr>
          <w:rFonts w:ascii="黑体" w:hAnsi="黑体" w:eastAsia="黑体" w:cs="Times New Roman"/>
          <w:b w:val="0"/>
          <w:sz w:val="36"/>
          <w:szCs w:val="36"/>
        </w:rPr>
      </w:pPr>
      <w:bookmarkStart w:id="28" w:name="_Toc51886305"/>
      <w:bookmarkStart w:id="29" w:name="_Toc58739901"/>
      <w:bookmarkStart w:id="30" w:name="_Toc59151849"/>
      <w:bookmarkStart w:id="31" w:name="_Toc61205008"/>
      <w:r>
        <w:rPr>
          <w:rFonts w:hint="eastAsia" w:ascii="黑体" w:hAnsi="黑体" w:eastAsia="黑体" w:cs="Times New Roman"/>
          <w:b w:val="0"/>
          <w:sz w:val="36"/>
          <w:szCs w:val="36"/>
        </w:rPr>
        <w:t>三、总体思路</w:t>
      </w:r>
      <w:bookmarkEnd w:id="28"/>
      <w:bookmarkEnd w:id="29"/>
      <w:bookmarkEnd w:id="30"/>
      <w:bookmarkEnd w:id="31"/>
    </w:p>
    <w:p>
      <w:pPr>
        <w:pStyle w:val="3"/>
        <w:spacing w:before="120" w:after="120" w:line="560" w:lineRule="exact"/>
        <w:ind w:firstLine="643" w:firstLineChars="200"/>
        <w:rPr>
          <w:rFonts w:ascii="楷体_GB2312" w:eastAsia="楷体_GB2312"/>
          <w:bCs w:val="0"/>
          <w:kern w:val="0"/>
          <w:szCs w:val="20"/>
        </w:rPr>
      </w:pPr>
      <w:bookmarkStart w:id="32" w:name="_Toc58739902"/>
      <w:bookmarkStart w:id="33" w:name="_Toc51886306"/>
      <w:bookmarkStart w:id="34" w:name="_Toc59151850"/>
      <w:bookmarkStart w:id="35" w:name="_Toc445214034"/>
      <w:bookmarkStart w:id="36" w:name="_Toc61205009"/>
      <w:r>
        <w:rPr>
          <w:rFonts w:hint="eastAsia" w:ascii="楷体_GB2312" w:eastAsia="楷体_GB2312"/>
          <w:bCs w:val="0"/>
          <w:kern w:val="0"/>
          <w:szCs w:val="20"/>
        </w:rPr>
        <w:t>（一）指导思想</w:t>
      </w:r>
      <w:bookmarkEnd w:id="32"/>
      <w:bookmarkEnd w:id="33"/>
      <w:bookmarkEnd w:id="34"/>
      <w:bookmarkEnd w:id="35"/>
      <w:bookmarkEnd w:id="36"/>
    </w:p>
    <w:p>
      <w:pPr>
        <w:ind w:firstLine="707" w:firstLineChars="221"/>
        <w:rPr>
          <w:rFonts w:ascii="仿宋" w:hAnsi="仿宋" w:eastAsia="仿宋" w:cs="宋体"/>
          <w:sz w:val="32"/>
          <w:szCs w:val="20"/>
        </w:rPr>
      </w:pPr>
      <w:bookmarkStart w:id="37" w:name="_Toc445214035"/>
      <w:r>
        <w:rPr>
          <w:rFonts w:hint="eastAsia" w:ascii="仿宋" w:hAnsi="仿宋" w:eastAsia="仿宋" w:cs="宋体"/>
          <w:sz w:val="32"/>
          <w:szCs w:val="20"/>
        </w:rPr>
        <w:t>以习近平新时代中国特色社会主义思想为指导，全面贯彻落实党的十九大和十九届二中、三中、四中、五中全会精神和省委省政府的决策部署，持续实施</w:t>
      </w:r>
      <w:r>
        <w:rPr>
          <w:rFonts w:hint="cs" w:ascii="仿宋" w:hAnsi="仿宋" w:eastAsia="仿宋" w:cs="宋体"/>
          <w:sz w:val="32"/>
          <w:szCs w:val="20"/>
        </w:rPr>
        <w:t>“</w:t>
      </w:r>
      <w:r>
        <w:rPr>
          <w:rFonts w:hint="eastAsia" w:ascii="仿宋" w:hAnsi="仿宋" w:eastAsia="仿宋" w:cs="宋体"/>
          <w:sz w:val="32"/>
          <w:szCs w:val="20"/>
        </w:rPr>
        <w:t>一个总目标、两个样板、三步走</w:t>
      </w:r>
      <w:r>
        <w:rPr>
          <w:rFonts w:hint="cs" w:ascii="仿宋" w:hAnsi="仿宋" w:eastAsia="仿宋" w:cs="宋体"/>
          <w:sz w:val="32"/>
          <w:szCs w:val="20"/>
        </w:rPr>
        <w:t>”</w:t>
      </w:r>
      <w:r>
        <w:rPr>
          <w:rFonts w:hint="eastAsia" w:ascii="仿宋" w:hAnsi="仿宋" w:eastAsia="仿宋" w:cs="宋体"/>
          <w:sz w:val="32"/>
          <w:szCs w:val="20"/>
        </w:rPr>
        <w:t>发展战略，抢抓双循环新发展格局机遇，深入实施</w:t>
      </w:r>
      <w:r>
        <w:rPr>
          <w:rFonts w:hint="cs" w:ascii="仿宋" w:hAnsi="仿宋" w:eastAsia="仿宋" w:cs="宋体"/>
          <w:sz w:val="32"/>
          <w:szCs w:val="20"/>
        </w:rPr>
        <w:t>“</w:t>
      </w:r>
      <w:r>
        <w:rPr>
          <w:rFonts w:hint="eastAsia" w:ascii="仿宋" w:hAnsi="仿宋" w:eastAsia="仿宋" w:cs="宋体"/>
          <w:sz w:val="32"/>
          <w:szCs w:val="20"/>
        </w:rPr>
        <w:t>兴商建市</w:t>
      </w:r>
      <w:r>
        <w:rPr>
          <w:rFonts w:hint="cs" w:ascii="仿宋" w:hAnsi="仿宋" w:eastAsia="仿宋" w:cs="宋体"/>
          <w:sz w:val="32"/>
          <w:szCs w:val="20"/>
        </w:rPr>
        <w:t>”</w:t>
      </w:r>
      <w:r>
        <w:rPr>
          <w:rFonts w:hint="eastAsia" w:ascii="仿宋" w:hAnsi="仿宋" w:eastAsia="仿宋" w:cs="宋体"/>
          <w:sz w:val="32"/>
          <w:szCs w:val="20"/>
        </w:rPr>
        <w:t>发展战略，聚焦</w:t>
      </w:r>
      <w:r>
        <w:rPr>
          <w:rFonts w:hint="cs" w:ascii="仿宋" w:hAnsi="仿宋" w:eastAsia="仿宋" w:cs="宋体"/>
          <w:sz w:val="32"/>
          <w:szCs w:val="20"/>
        </w:rPr>
        <w:t>“</w:t>
      </w:r>
      <w:r>
        <w:rPr>
          <w:rFonts w:hint="eastAsia" w:ascii="仿宋" w:hAnsi="仿宋" w:eastAsia="仿宋" w:cs="宋体"/>
          <w:sz w:val="32"/>
          <w:szCs w:val="20"/>
        </w:rPr>
        <w:t>商</w:t>
      </w:r>
      <w:r>
        <w:rPr>
          <w:rFonts w:hint="cs" w:ascii="仿宋" w:hAnsi="仿宋" w:eastAsia="仿宋" w:cs="宋体"/>
          <w:sz w:val="32"/>
          <w:szCs w:val="20"/>
        </w:rPr>
        <w:t>”</w:t>
      </w:r>
      <w:r>
        <w:rPr>
          <w:rFonts w:hint="eastAsia" w:ascii="仿宋" w:hAnsi="仿宋" w:eastAsia="仿宋" w:cs="宋体"/>
          <w:sz w:val="32"/>
          <w:szCs w:val="20"/>
        </w:rPr>
        <w:t>字、围绕“人”“货”“场”，合理布局市场空间，</w:t>
      </w:r>
      <w:r>
        <w:rPr>
          <w:rFonts w:ascii="仿宋" w:hAnsi="仿宋" w:eastAsia="仿宋" w:cs="宋体"/>
          <w:sz w:val="32"/>
          <w:szCs w:val="20"/>
        </w:rPr>
        <w:t>优化</w:t>
      </w:r>
      <w:r>
        <w:rPr>
          <w:rFonts w:hint="eastAsia" w:ascii="仿宋" w:hAnsi="仿宋" w:eastAsia="仿宋" w:cs="宋体"/>
          <w:sz w:val="32"/>
          <w:szCs w:val="20"/>
        </w:rPr>
        <w:t>市场</w:t>
      </w:r>
      <w:r>
        <w:rPr>
          <w:rFonts w:ascii="仿宋" w:hAnsi="仿宋" w:eastAsia="仿宋" w:cs="宋体"/>
          <w:sz w:val="32"/>
          <w:szCs w:val="20"/>
        </w:rPr>
        <w:t>要素资源配置</w:t>
      </w:r>
      <w:r>
        <w:rPr>
          <w:rFonts w:hint="eastAsia" w:ascii="仿宋" w:hAnsi="仿宋" w:eastAsia="仿宋" w:cs="宋体"/>
          <w:sz w:val="32"/>
          <w:szCs w:val="20"/>
        </w:rPr>
        <w:t>，强化数字化赋能，</w:t>
      </w:r>
      <w:r>
        <w:rPr>
          <w:rFonts w:ascii="仿宋" w:hAnsi="仿宋" w:eastAsia="仿宋" w:cs="宋体"/>
          <w:sz w:val="32"/>
          <w:szCs w:val="20"/>
        </w:rPr>
        <w:t>健全市场服务支撑体系</w:t>
      </w:r>
      <w:r>
        <w:rPr>
          <w:rFonts w:hint="eastAsia" w:ascii="仿宋" w:hAnsi="仿宋" w:eastAsia="仿宋" w:cs="宋体"/>
          <w:sz w:val="32"/>
          <w:szCs w:val="20"/>
        </w:rPr>
        <w:t>，推动内贸市场升级，推进外贸市场创新发展，努力建成国内国际双循环全球市场标杆，连接</w:t>
      </w:r>
      <w:r>
        <w:rPr>
          <w:rFonts w:hint="eastAsia" w:ascii="仿宋" w:hAnsi="仿宋" w:eastAsia="仿宋" w:cs="宋体"/>
          <w:color w:val="000000" w:themeColor="text1"/>
          <w:sz w:val="32"/>
          <w:szCs w:val="20"/>
        </w:rPr>
        <w:t>国外大循环的开放枢纽和联通国内国际双循环的商贸</w:t>
      </w:r>
      <w:r>
        <w:rPr>
          <w:rFonts w:ascii="仿宋" w:hAnsi="仿宋" w:eastAsia="仿宋" w:cs="宋体"/>
          <w:color w:val="000000" w:themeColor="text1"/>
          <w:sz w:val="32"/>
          <w:szCs w:val="20"/>
        </w:rPr>
        <w:t>枢纽</w:t>
      </w:r>
      <w:r>
        <w:rPr>
          <w:rFonts w:hint="eastAsia" w:ascii="仿宋" w:hAnsi="仿宋" w:eastAsia="仿宋" w:cs="宋体"/>
          <w:color w:val="000000" w:themeColor="text1"/>
          <w:sz w:val="32"/>
          <w:szCs w:val="20"/>
        </w:rPr>
        <w:t>，</w:t>
      </w:r>
      <w:r>
        <w:rPr>
          <w:rFonts w:hint="eastAsia" w:ascii="仿宋" w:hAnsi="仿宋" w:eastAsia="仿宋" w:cs="Times New Roman"/>
          <w:color w:val="000000" w:themeColor="text1"/>
          <w:sz w:val="32"/>
          <w:szCs w:val="32"/>
        </w:rPr>
        <w:t>继续保持全球最大小商品市场龙头地位，</w:t>
      </w:r>
      <w:r>
        <w:rPr>
          <w:rFonts w:hint="eastAsia" w:ascii="仿宋" w:hAnsi="仿宋" w:eastAsia="仿宋" w:cs="宋体"/>
          <w:color w:val="000000" w:themeColor="text1"/>
          <w:sz w:val="32"/>
          <w:szCs w:val="20"/>
        </w:rPr>
        <w:t>实现从全球小商品交易中心向国际小商品自由贸易中心</w:t>
      </w:r>
      <w:r>
        <w:rPr>
          <w:rFonts w:hint="eastAsia" w:ascii="仿宋" w:hAnsi="仿宋" w:eastAsia="仿宋" w:cs="宋体"/>
          <w:sz w:val="32"/>
          <w:szCs w:val="20"/>
        </w:rPr>
        <w:t>、数字贸易创新中心、全球小商品供应链中心的转变，争当</w:t>
      </w:r>
      <w:r>
        <w:rPr>
          <w:rFonts w:hint="cs" w:ascii="仿宋" w:hAnsi="仿宋" w:eastAsia="仿宋" w:cs="宋体"/>
          <w:sz w:val="32"/>
          <w:szCs w:val="20"/>
        </w:rPr>
        <w:t>“</w:t>
      </w:r>
      <w:r>
        <w:rPr>
          <w:rFonts w:hint="eastAsia" w:ascii="仿宋" w:hAnsi="仿宋" w:eastAsia="仿宋" w:cs="宋体"/>
          <w:sz w:val="32"/>
          <w:szCs w:val="20"/>
        </w:rPr>
        <w:t>重要窗口</w:t>
      </w:r>
      <w:r>
        <w:rPr>
          <w:rFonts w:hint="cs" w:ascii="仿宋" w:hAnsi="仿宋" w:eastAsia="仿宋" w:cs="宋体"/>
          <w:sz w:val="32"/>
          <w:szCs w:val="20"/>
        </w:rPr>
        <w:t>”</w:t>
      </w:r>
      <w:r>
        <w:rPr>
          <w:rFonts w:hint="eastAsia" w:ascii="仿宋" w:hAnsi="仿宋" w:eastAsia="仿宋" w:cs="宋体"/>
          <w:sz w:val="32"/>
          <w:szCs w:val="20"/>
        </w:rPr>
        <w:t>模范生，朝着高质量高水平世界</w:t>
      </w:r>
      <w:r>
        <w:rPr>
          <w:rFonts w:hint="cs" w:ascii="仿宋" w:hAnsi="仿宋" w:eastAsia="仿宋" w:cs="宋体"/>
          <w:sz w:val="32"/>
          <w:szCs w:val="20"/>
        </w:rPr>
        <w:t>“</w:t>
      </w:r>
      <w:r>
        <w:rPr>
          <w:rFonts w:hint="eastAsia" w:ascii="仿宋" w:hAnsi="仿宋" w:eastAsia="仿宋" w:cs="宋体"/>
          <w:sz w:val="32"/>
          <w:szCs w:val="20"/>
        </w:rPr>
        <w:t>小商品之都</w:t>
      </w:r>
      <w:r>
        <w:rPr>
          <w:rFonts w:hint="cs" w:ascii="仿宋" w:hAnsi="仿宋" w:eastAsia="仿宋" w:cs="宋体"/>
          <w:sz w:val="32"/>
          <w:szCs w:val="20"/>
        </w:rPr>
        <w:t>”</w:t>
      </w:r>
      <w:r>
        <w:rPr>
          <w:rFonts w:hint="eastAsia" w:ascii="仿宋" w:hAnsi="仿宋" w:eastAsia="仿宋" w:cs="宋体"/>
          <w:sz w:val="32"/>
          <w:szCs w:val="20"/>
        </w:rPr>
        <w:t>目标奋勇迈进。</w:t>
      </w:r>
    </w:p>
    <w:p>
      <w:pPr>
        <w:pStyle w:val="3"/>
        <w:spacing w:before="120" w:after="120" w:line="560" w:lineRule="exact"/>
        <w:ind w:firstLine="643" w:firstLineChars="200"/>
        <w:rPr>
          <w:rFonts w:ascii="楷体_GB2312" w:eastAsia="楷体_GB2312"/>
          <w:bCs w:val="0"/>
          <w:kern w:val="0"/>
          <w:szCs w:val="20"/>
        </w:rPr>
      </w:pPr>
      <w:bookmarkStart w:id="38" w:name="_Toc58739903"/>
      <w:bookmarkStart w:id="39" w:name="_Toc51886308"/>
      <w:bookmarkStart w:id="40" w:name="_Toc59151851"/>
      <w:bookmarkStart w:id="41" w:name="_Toc61205010"/>
      <w:r>
        <w:rPr>
          <w:rFonts w:hint="eastAsia" w:ascii="楷体_GB2312" w:eastAsia="楷体_GB2312"/>
          <w:bCs w:val="0"/>
          <w:kern w:val="0"/>
          <w:szCs w:val="20"/>
        </w:rPr>
        <w:t>（二）基本原则</w:t>
      </w:r>
      <w:bookmarkEnd w:id="37"/>
      <w:bookmarkEnd w:id="38"/>
      <w:bookmarkEnd w:id="39"/>
      <w:bookmarkEnd w:id="40"/>
      <w:bookmarkEnd w:id="41"/>
    </w:p>
    <w:p>
      <w:pPr>
        <w:ind w:firstLine="710" w:firstLineChars="221"/>
        <w:rPr>
          <w:rFonts w:ascii="仿宋" w:hAnsi="仿宋" w:eastAsia="仿宋" w:cs="宋体"/>
          <w:sz w:val="32"/>
          <w:szCs w:val="20"/>
        </w:rPr>
      </w:pPr>
      <w:r>
        <w:rPr>
          <w:rFonts w:hint="eastAsia" w:ascii="楷体" w:hAnsi="楷体" w:eastAsia="楷体" w:cs="宋体"/>
          <w:b/>
          <w:sz w:val="32"/>
          <w:szCs w:val="20"/>
        </w:rPr>
        <w:t>坚持融入新发展格局。</w:t>
      </w:r>
      <w:r>
        <w:rPr>
          <w:rFonts w:hint="eastAsia" w:ascii="仿宋" w:hAnsi="仿宋" w:eastAsia="仿宋" w:cs="宋体"/>
          <w:sz w:val="32"/>
          <w:szCs w:val="20"/>
        </w:rPr>
        <w:t>高站位高起点谋划市场创新发展，积极主动谋划第六代市场、自贸试验区、民生市场建设，积极融入双循环新发展格局，在做大做强国际商品贸易市场、抢占国际服务贸易高地的同时，加快畅通内贸市场，努力实现国内国际竞争力双提升，</w:t>
      </w:r>
      <w:r>
        <w:rPr>
          <w:rFonts w:ascii="仿宋" w:hAnsi="仿宋" w:eastAsia="仿宋" w:cs="宋体"/>
          <w:sz w:val="32"/>
          <w:szCs w:val="20"/>
        </w:rPr>
        <w:t>成为国内国际双循环的</w:t>
      </w:r>
      <w:r>
        <w:rPr>
          <w:rFonts w:hint="eastAsia" w:ascii="仿宋" w:hAnsi="仿宋" w:eastAsia="仿宋" w:cs="宋体"/>
          <w:sz w:val="32"/>
          <w:szCs w:val="20"/>
        </w:rPr>
        <w:t>重要</w:t>
      </w:r>
      <w:r>
        <w:rPr>
          <w:rFonts w:ascii="仿宋" w:hAnsi="仿宋" w:eastAsia="仿宋" w:cs="宋体"/>
          <w:sz w:val="32"/>
          <w:szCs w:val="20"/>
        </w:rPr>
        <w:t>枢纽</w:t>
      </w:r>
      <w:r>
        <w:rPr>
          <w:rFonts w:hint="eastAsia" w:ascii="仿宋" w:hAnsi="仿宋" w:eastAsia="仿宋" w:cs="宋体"/>
          <w:sz w:val="32"/>
          <w:szCs w:val="20"/>
        </w:rPr>
        <w:t>。</w:t>
      </w:r>
    </w:p>
    <w:p>
      <w:pPr>
        <w:ind w:firstLine="710" w:firstLineChars="221"/>
        <w:rPr>
          <w:rFonts w:ascii="仿宋" w:hAnsi="仿宋" w:eastAsia="仿宋" w:cs="宋体"/>
          <w:sz w:val="32"/>
          <w:szCs w:val="20"/>
        </w:rPr>
      </w:pPr>
      <w:r>
        <w:rPr>
          <w:rFonts w:hint="eastAsia" w:ascii="楷体" w:hAnsi="楷体" w:eastAsia="楷体" w:cs="宋体"/>
          <w:b/>
          <w:sz w:val="32"/>
          <w:szCs w:val="20"/>
        </w:rPr>
        <w:t>坚持改革创新驱动。</w:t>
      </w:r>
      <w:r>
        <w:rPr>
          <w:rFonts w:hint="eastAsia" w:ascii="仿宋" w:hAnsi="仿宋" w:eastAsia="仿宋" w:cs="宋体"/>
          <w:sz w:val="32"/>
          <w:szCs w:val="20"/>
        </w:rPr>
        <w:t>坚持打造国际一流营商环境，向改革要效率，用创新谋发展，加快推进市场国际化、法治化、标准化、数字化发展。深化政府职能改革，深入推进简政放权，进一步释放改革创新的动力。发挥义乌的先发优势，进一步降低税收成本、提高贸易效率、放宽国际准入，破除因政策供给不足或经营成本过高造成的创新不足问题。</w:t>
      </w:r>
    </w:p>
    <w:p>
      <w:pPr>
        <w:ind w:firstLine="710" w:firstLineChars="221"/>
        <w:rPr>
          <w:rFonts w:ascii="仿宋" w:hAnsi="仿宋" w:eastAsia="仿宋" w:cs="宋体"/>
          <w:sz w:val="32"/>
          <w:szCs w:val="20"/>
        </w:rPr>
      </w:pPr>
      <w:r>
        <w:rPr>
          <w:rFonts w:hint="eastAsia" w:ascii="楷体" w:hAnsi="楷体" w:eastAsia="楷体" w:cs="宋体"/>
          <w:b/>
          <w:sz w:val="32"/>
          <w:szCs w:val="20"/>
        </w:rPr>
        <w:t>坚持开放融合发展。</w:t>
      </w:r>
      <w:r>
        <w:rPr>
          <w:rFonts w:hint="eastAsia" w:ascii="仿宋" w:hAnsi="仿宋" w:eastAsia="仿宋" w:cs="宋体"/>
          <w:sz w:val="32"/>
          <w:szCs w:val="20"/>
        </w:rPr>
        <w:t>以开放融合谋发展，以更开放的心态谋求市场联盟式发展，打破因权属不同形成的管理割裂。以产业融合为突破，加快打造完整的小商品产业链、生态链、创新链，探索产业增值服务，形成研发设计、生产加工、仓储物流、商务展会、现代金融、人才、大数据线上线下有机融合的新市场体系。</w:t>
      </w:r>
    </w:p>
    <w:p>
      <w:pPr>
        <w:ind w:firstLine="710" w:firstLineChars="221"/>
        <w:rPr>
          <w:rFonts w:ascii="仿宋" w:hAnsi="仿宋" w:eastAsia="仿宋" w:cs="宋体"/>
          <w:sz w:val="32"/>
          <w:szCs w:val="20"/>
        </w:rPr>
      </w:pPr>
      <w:bookmarkStart w:id="42" w:name="_Toc51886309"/>
      <w:r>
        <w:rPr>
          <w:rFonts w:hint="eastAsia" w:ascii="楷体" w:hAnsi="楷体" w:eastAsia="楷体" w:cs="宋体"/>
          <w:b/>
          <w:sz w:val="32"/>
          <w:szCs w:val="20"/>
        </w:rPr>
        <w:t>坚持数字技术赋能</w:t>
      </w:r>
      <w:bookmarkEnd w:id="42"/>
      <w:r>
        <w:rPr>
          <w:rFonts w:hint="eastAsia" w:ascii="楷体" w:hAnsi="楷体" w:eastAsia="楷体" w:cs="宋体"/>
          <w:b/>
          <w:sz w:val="32"/>
          <w:szCs w:val="20"/>
        </w:rPr>
        <w:t>。</w:t>
      </w:r>
      <w:r>
        <w:rPr>
          <w:rFonts w:hint="eastAsia" w:ascii="仿宋" w:hAnsi="仿宋" w:eastAsia="仿宋" w:cs="宋体"/>
          <w:sz w:val="32"/>
          <w:szCs w:val="20"/>
        </w:rPr>
        <w:t>坚持数字技术和实体市场的双向赋能，积极发展大数据支撑下的实体市场智慧化、数字化，发挥实体市场对数字平台的引导和促进作用，提高市场数据向产业创新的快速转化能力，创新</w:t>
      </w:r>
      <w:r>
        <w:rPr>
          <w:rFonts w:ascii="仿宋" w:hAnsi="仿宋" w:eastAsia="仿宋" w:cs="宋体"/>
          <w:sz w:val="32"/>
          <w:szCs w:val="20"/>
        </w:rPr>
        <w:t>Chinagoods</w:t>
      </w:r>
      <w:r>
        <w:rPr>
          <w:rFonts w:hint="eastAsia" w:ascii="仿宋" w:hAnsi="仿宋" w:eastAsia="仿宋" w:cs="宋体"/>
          <w:sz w:val="32"/>
          <w:szCs w:val="20"/>
        </w:rPr>
        <w:t>综合服务平台应用，带动新型市场业态和贸易方式的创新，打造服务全球的线上线下供应链集成平台。</w:t>
      </w:r>
    </w:p>
    <w:p>
      <w:pPr>
        <w:pStyle w:val="3"/>
        <w:spacing w:before="120" w:after="120" w:line="560" w:lineRule="exact"/>
        <w:ind w:firstLine="643" w:firstLineChars="200"/>
        <w:rPr>
          <w:rFonts w:ascii="楷体_GB2312" w:eastAsia="楷体_GB2312"/>
          <w:bCs w:val="0"/>
          <w:kern w:val="0"/>
          <w:szCs w:val="20"/>
        </w:rPr>
      </w:pPr>
      <w:bookmarkStart w:id="43" w:name="_Toc51886310"/>
      <w:bookmarkStart w:id="44" w:name="_Toc58739904"/>
      <w:bookmarkStart w:id="45" w:name="_Toc445214036"/>
      <w:bookmarkStart w:id="46" w:name="_Toc59151852"/>
      <w:bookmarkStart w:id="47" w:name="_Toc61205011"/>
      <w:r>
        <w:rPr>
          <w:rFonts w:hint="eastAsia" w:ascii="楷体_GB2312" w:eastAsia="楷体_GB2312"/>
          <w:bCs w:val="0"/>
          <w:kern w:val="0"/>
          <w:szCs w:val="20"/>
        </w:rPr>
        <w:t>（三）发展目标</w:t>
      </w:r>
      <w:bookmarkEnd w:id="43"/>
      <w:bookmarkEnd w:id="44"/>
      <w:bookmarkEnd w:id="45"/>
      <w:bookmarkEnd w:id="46"/>
      <w:bookmarkEnd w:id="47"/>
    </w:p>
    <w:p>
      <w:pPr>
        <w:ind w:firstLine="640" w:firstLineChars="200"/>
        <w:rPr>
          <w:rFonts w:ascii="仿宋" w:hAnsi="仿宋" w:eastAsia="仿宋"/>
          <w:sz w:val="32"/>
          <w:szCs w:val="32"/>
        </w:rPr>
      </w:pPr>
      <w:r>
        <w:rPr>
          <w:rFonts w:hint="eastAsia" w:ascii="仿宋" w:hAnsi="仿宋" w:eastAsia="仿宋"/>
          <w:sz w:val="32"/>
          <w:szCs w:val="32"/>
        </w:rPr>
        <w:t>到</w:t>
      </w:r>
      <w:r>
        <w:rPr>
          <w:rFonts w:ascii="仿宋" w:hAnsi="仿宋" w:eastAsia="仿宋"/>
          <w:sz w:val="32"/>
          <w:szCs w:val="32"/>
        </w:rPr>
        <w:t>2025</w:t>
      </w:r>
      <w:r>
        <w:rPr>
          <w:rFonts w:hint="eastAsia" w:ascii="仿宋" w:hAnsi="仿宋" w:eastAsia="仿宋"/>
          <w:sz w:val="32"/>
          <w:szCs w:val="32"/>
        </w:rPr>
        <w:t>年，基本实现从全球小商品交易中心向国际小商品自由贸易中心、数字贸易创新中心、全球小商品供应链中心的转变。</w:t>
      </w:r>
    </w:p>
    <w:p>
      <w:pPr>
        <w:ind w:firstLine="643" w:firstLineChars="200"/>
        <w:rPr>
          <w:rFonts w:ascii="仿宋" w:hAnsi="仿宋" w:eastAsia="仿宋"/>
          <w:sz w:val="32"/>
          <w:szCs w:val="32"/>
        </w:rPr>
      </w:pPr>
      <w:r>
        <w:rPr>
          <w:rFonts w:hint="eastAsia" w:ascii="楷体" w:hAnsi="楷体" w:eastAsia="楷体" w:cs="宋体"/>
          <w:b/>
          <w:sz w:val="32"/>
          <w:szCs w:val="20"/>
        </w:rPr>
        <w:t>国际小商品自由贸易中心基本建成。</w:t>
      </w:r>
      <w:r>
        <w:rPr>
          <w:rFonts w:hint="eastAsia" w:ascii="仿宋" w:hAnsi="仿宋" w:eastAsia="仿宋"/>
          <w:sz w:val="32"/>
          <w:szCs w:val="32"/>
        </w:rPr>
        <w:t>到2</w:t>
      </w:r>
      <w:r>
        <w:rPr>
          <w:rFonts w:ascii="仿宋" w:hAnsi="仿宋" w:eastAsia="仿宋"/>
          <w:sz w:val="32"/>
          <w:szCs w:val="32"/>
        </w:rPr>
        <w:t>025</w:t>
      </w:r>
      <w:r>
        <w:rPr>
          <w:rFonts w:hint="eastAsia" w:ascii="仿宋" w:hAnsi="仿宋" w:eastAsia="仿宋"/>
          <w:sz w:val="32"/>
          <w:szCs w:val="32"/>
        </w:rPr>
        <w:t>年，贸易、投资、资金、运输、人员往来等相关领域自由化便利化制度体系建设取得重大突破，</w:t>
      </w:r>
      <w:r>
        <w:rPr>
          <w:rFonts w:hint="cs" w:ascii="仿宋" w:hAnsi="仿宋" w:eastAsia="仿宋"/>
          <w:sz w:val="32"/>
          <w:szCs w:val="32"/>
        </w:rPr>
        <w:t>“</w:t>
      </w:r>
      <w:r>
        <w:rPr>
          <w:rFonts w:hint="eastAsia" w:ascii="仿宋" w:hAnsi="仿宋" w:eastAsia="仿宋"/>
          <w:color w:val="000000" w:themeColor="text1"/>
          <w:sz w:val="32"/>
          <w:szCs w:val="32"/>
        </w:rPr>
        <w:t>义新欧</w:t>
      </w:r>
      <w:r>
        <w:rPr>
          <w:rFonts w:hint="cs" w:ascii="仿宋" w:hAnsi="仿宋" w:eastAsia="仿宋"/>
          <w:color w:val="000000" w:themeColor="text1"/>
          <w:sz w:val="32"/>
          <w:szCs w:val="32"/>
        </w:rPr>
        <w:t>”</w:t>
      </w:r>
      <w:r>
        <w:rPr>
          <w:rFonts w:hint="eastAsia" w:ascii="仿宋" w:hAnsi="仿宋" w:eastAsia="仿宋"/>
          <w:color w:val="000000" w:themeColor="text1"/>
          <w:sz w:val="32"/>
          <w:szCs w:val="32"/>
        </w:rPr>
        <w:t>、义甬舟双向开放大通道建设全面打通，以第六代市场为核心的世界超市、贸易天堂初步建立，小商品市场交易额稳居全球第一。到2</w:t>
      </w:r>
      <w:r>
        <w:rPr>
          <w:rFonts w:ascii="仿宋" w:hAnsi="仿宋" w:eastAsia="仿宋"/>
          <w:color w:val="000000" w:themeColor="text1"/>
          <w:sz w:val="32"/>
          <w:szCs w:val="32"/>
        </w:rPr>
        <w:t>025</w:t>
      </w:r>
      <w:r>
        <w:rPr>
          <w:rFonts w:hint="eastAsia" w:ascii="仿宋" w:hAnsi="仿宋" w:eastAsia="仿宋"/>
          <w:color w:val="000000" w:themeColor="text1"/>
          <w:sz w:val="32"/>
          <w:szCs w:val="32"/>
        </w:rPr>
        <w:t>年，全市集贸市场总成交额突破</w:t>
      </w:r>
      <w:r>
        <w:rPr>
          <w:rFonts w:ascii="仿宋" w:hAnsi="仿宋" w:eastAsia="仿宋"/>
          <w:color w:val="000000" w:themeColor="text1"/>
          <w:sz w:val="32"/>
          <w:szCs w:val="32"/>
        </w:rPr>
        <w:t>3000</w:t>
      </w:r>
      <w:r>
        <w:rPr>
          <w:rFonts w:hint="eastAsia" w:ascii="仿宋" w:hAnsi="仿宋" w:eastAsia="仿宋"/>
          <w:color w:val="000000" w:themeColor="text1"/>
          <w:sz w:val="32"/>
          <w:szCs w:val="32"/>
        </w:rPr>
        <w:t>亿元，“十四五”期间年均增长9</w:t>
      </w:r>
      <w:r>
        <w:rPr>
          <w:rFonts w:ascii="仿宋" w:hAnsi="仿宋" w:eastAsia="仿宋"/>
          <w:color w:val="000000" w:themeColor="text1"/>
          <w:sz w:val="32"/>
          <w:szCs w:val="32"/>
        </w:rPr>
        <w:t>.5%</w:t>
      </w:r>
      <w:r>
        <w:rPr>
          <w:rFonts w:hint="eastAsia" w:ascii="仿宋" w:hAnsi="仿宋" w:eastAsia="仿宋"/>
          <w:color w:val="000000" w:themeColor="text1"/>
          <w:sz w:val="32"/>
          <w:szCs w:val="32"/>
        </w:rPr>
        <w:t>；中国小商品城成交额</w:t>
      </w:r>
      <w:r>
        <w:rPr>
          <w:rFonts w:ascii="仿宋" w:hAnsi="仿宋" w:eastAsia="仿宋"/>
          <w:color w:val="000000" w:themeColor="text1"/>
          <w:sz w:val="32"/>
          <w:szCs w:val="32"/>
        </w:rPr>
        <w:t>2500</w:t>
      </w:r>
      <w:r>
        <w:rPr>
          <w:rFonts w:hint="eastAsia" w:ascii="仿宋" w:hAnsi="仿宋" w:eastAsia="仿宋"/>
          <w:color w:val="000000" w:themeColor="text1"/>
          <w:sz w:val="32"/>
          <w:szCs w:val="32"/>
        </w:rPr>
        <w:t>亿元，“十四五”期间年均增长</w:t>
      </w:r>
      <w:r>
        <w:rPr>
          <w:rFonts w:ascii="仿宋" w:hAnsi="仿宋" w:eastAsia="仿宋"/>
          <w:color w:val="000000" w:themeColor="text1"/>
          <w:sz w:val="32"/>
          <w:szCs w:val="32"/>
        </w:rPr>
        <w:t>9.3%</w:t>
      </w:r>
      <w:r>
        <w:rPr>
          <w:rFonts w:hint="eastAsia" w:ascii="仿宋" w:hAnsi="仿宋" w:eastAsia="仿宋"/>
          <w:color w:val="000000" w:themeColor="text1"/>
          <w:sz w:val="32"/>
          <w:szCs w:val="32"/>
        </w:rPr>
        <w:t>；“十四五”期间，完成市场新增投资</w:t>
      </w:r>
      <w:r>
        <w:rPr>
          <w:rFonts w:ascii="仿宋" w:hAnsi="仿宋" w:eastAsia="仿宋"/>
          <w:color w:val="000000" w:themeColor="text1"/>
          <w:sz w:val="32"/>
          <w:szCs w:val="32"/>
        </w:rPr>
        <w:t>128.5</w:t>
      </w:r>
      <w:r>
        <w:rPr>
          <w:rFonts w:hint="eastAsia" w:ascii="仿宋" w:hAnsi="仿宋" w:eastAsia="仿宋"/>
          <w:color w:val="000000" w:themeColor="text1"/>
          <w:sz w:val="32"/>
          <w:szCs w:val="32"/>
        </w:rPr>
        <w:t>亿元，市场新增建设用地达</w:t>
      </w:r>
      <w:r>
        <w:rPr>
          <w:rFonts w:ascii="仿宋" w:hAnsi="仿宋" w:eastAsia="仿宋"/>
          <w:color w:val="000000" w:themeColor="text1"/>
          <w:sz w:val="32"/>
          <w:szCs w:val="32"/>
        </w:rPr>
        <w:t>1730.77</w:t>
      </w:r>
      <w:r>
        <w:rPr>
          <w:rFonts w:hint="eastAsia" w:ascii="仿宋" w:hAnsi="仿宋" w:eastAsia="仿宋"/>
          <w:color w:val="000000" w:themeColor="text1"/>
          <w:sz w:val="32"/>
          <w:szCs w:val="32"/>
        </w:rPr>
        <w:t>亩；在全球布局30</w:t>
      </w:r>
      <w:r>
        <w:rPr>
          <w:rFonts w:hint="eastAsia" w:ascii="仿宋" w:hAnsi="仿宋" w:eastAsia="仿宋"/>
          <w:sz w:val="32"/>
          <w:szCs w:val="32"/>
        </w:rPr>
        <w:t>0个以上海外仓、物流分拨中心，推出200条以上低成本“门到门”全球物流专线，</w:t>
      </w:r>
      <w:r>
        <w:rPr>
          <w:rFonts w:ascii="仿宋" w:hAnsi="仿宋" w:eastAsia="仿宋"/>
          <w:sz w:val="32"/>
          <w:szCs w:val="32"/>
        </w:rPr>
        <w:t>30</w:t>
      </w:r>
      <w:r>
        <w:rPr>
          <w:rFonts w:hint="eastAsia" w:ascii="仿宋" w:hAnsi="仿宋" w:eastAsia="仿宋"/>
          <w:sz w:val="32"/>
          <w:szCs w:val="32"/>
        </w:rPr>
        <w:t>组以上跨境合作“两国两园”，外贸综合服务业出口额超150亿元，对RCEP国家进出口超1000亿元，推动从“买卖商品”向“买卖服务”升级。</w:t>
      </w:r>
    </w:p>
    <w:p>
      <w:pPr>
        <w:ind w:firstLine="643" w:firstLineChars="200"/>
        <w:rPr>
          <w:rFonts w:ascii="仿宋" w:hAnsi="仿宋" w:eastAsia="仿宋"/>
          <w:sz w:val="32"/>
          <w:szCs w:val="32"/>
        </w:rPr>
      </w:pPr>
      <w:r>
        <w:rPr>
          <w:rFonts w:hint="eastAsia" w:ascii="楷体" w:hAnsi="楷体" w:eastAsia="楷体" w:cs="宋体"/>
          <w:b/>
          <w:sz w:val="32"/>
          <w:szCs w:val="20"/>
        </w:rPr>
        <w:t>数字贸易创新中心建设跻身全国前列。</w:t>
      </w:r>
      <w:r>
        <w:rPr>
          <w:rFonts w:hint="eastAsia" w:ascii="仿宋" w:hAnsi="仿宋" w:eastAsia="仿宋"/>
          <w:sz w:val="32"/>
          <w:szCs w:val="32"/>
        </w:rPr>
        <w:t>到2</w:t>
      </w:r>
      <w:r>
        <w:rPr>
          <w:rFonts w:ascii="仿宋" w:hAnsi="仿宋" w:eastAsia="仿宋"/>
          <w:sz w:val="32"/>
          <w:szCs w:val="32"/>
        </w:rPr>
        <w:t>025</w:t>
      </w:r>
      <w:r>
        <w:rPr>
          <w:rFonts w:hint="eastAsia" w:ascii="仿宋" w:hAnsi="仿宋" w:eastAsia="仿宋"/>
          <w:sz w:val="32"/>
          <w:szCs w:val="32"/>
        </w:rPr>
        <w:t>年，线上线下、内贸外贸、进口出口、货贸服贸协调发展的新型贸易市场体系和商业变革枢纽初步形成，</w:t>
      </w:r>
      <w:r>
        <w:rPr>
          <w:rFonts w:ascii="仿宋" w:hAnsi="仿宋" w:eastAsia="仿宋"/>
          <w:sz w:val="32"/>
          <w:szCs w:val="32"/>
        </w:rPr>
        <w:t>eWTP</w:t>
      </w:r>
      <w:r>
        <w:rPr>
          <w:rFonts w:hint="eastAsia" w:ascii="仿宋" w:hAnsi="仿宋" w:eastAsia="仿宋"/>
          <w:sz w:val="32"/>
          <w:szCs w:val="32"/>
        </w:rPr>
        <w:t>数字贸易创新中心建设基本建成。到2</w:t>
      </w:r>
      <w:r>
        <w:rPr>
          <w:rFonts w:ascii="仿宋" w:hAnsi="仿宋" w:eastAsia="仿宋"/>
          <w:sz w:val="32"/>
          <w:szCs w:val="32"/>
        </w:rPr>
        <w:t>025</w:t>
      </w:r>
      <w:r>
        <w:rPr>
          <w:rFonts w:hint="eastAsia" w:ascii="仿宋" w:hAnsi="仿宋" w:eastAsia="仿宋"/>
          <w:sz w:val="32"/>
          <w:szCs w:val="32"/>
        </w:rPr>
        <w:t>年，市场采购贸易突破3</w:t>
      </w:r>
      <w:r>
        <w:rPr>
          <w:rFonts w:ascii="仿宋" w:hAnsi="仿宋" w:eastAsia="仿宋"/>
          <w:sz w:val="32"/>
          <w:szCs w:val="32"/>
        </w:rPr>
        <w:t>000</w:t>
      </w:r>
      <w:r>
        <w:rPr>
          <w:rFonts w:hint="eastAsia" w:ascii="仿宋" w:hAnsi="仿宋" w:eastAsia="仿宋"/>
          <w:sz w:val="32"/>
          <w:szCs w:val="32"/>
        </w:rPr>
        <w:t>亿；培育引进100家以上年销售额超亿元跨境电商企业，打造若干百亿级跨境电商产业园、跨境直播基地，跨境线上贸易额超过2000亿元；投用100万平方米直播基地，实现直播带货超2000亿元；跨境人民币结算规模累计超过1000亿元；保持快递物流高速发展态势，快递量位列全国第一，实现“全国24小时达、全球72小时达”。</w:t>
      </w:r>
    </w:p>
    <w:p>
      <w:pPr>
        <w:ind w:firstLine="643" w:firstLineChars="200"/>
        <w:rPr>
          <w:rFonts w:ascii="仿宋" w:hAnsi="仿宋" w:eastAsia="仿宋"/>
          <w:sz w:val="32"/>
          <w:szCs w:val="32"/>
        </w:rPr>
      </w:pPr>
      <w:r>
        <w:rPr>
          <w:rFonts w:hint="eastAsia" w:ascii="楷体" w:hAnsi="楷体" w:eastAsia="楷体" w:cs="宋体"/>
          <w:b/>
          <w:sz w:val="32"/>
          <w:szCs w:val="20"/>
        </w:rPr>
        <w:t>全球小商品供应链中心地位更加凸显。</w:t>
      </w:r>
      <w:r>
        <w:rPr>
          <w:rFonts w:hint="eastAsia" w:ascii="仿宋" w:hAnsi="仿宋" w:eastAsia="仿宋"/>
          <w:sz w:val="32"/>
          <w:szCs w:val="32"/>
        </w:rPr>
        <w:t>到2</w:t>
      </w:r>
      <w:r>
        <w:rPr>
          <w:rFonts w:ascii="仿宋" w:hAnsi="仿宋" w:eastAsia="仿宋"/>
          <w:sz w:val="32"/>
          <w:szCs w:val="32"/>
        </w:rPr>
        <w:t>025</w:t>
      </w:r>
      <w:r>
        <w:rPr>
          <w:rFonts w:hint="eastAsia" w:ascii="仿宋" w:hAnsi="仿宋" w:eastAsia="仿宋"/>
          <w:sz w:val="32"/>
          <w:szCs w:val="32"/>
        </w:rPr>
        <w:t>年，市场对核心原材料、核心产业技术、核心零部件、核心服务能力等的集聚更加高效，市场链、创新链、价值链的完整体系初步形成，供需双向创新更加有力，成为线上线下一体化的全球直播经济中心、全球小商品核心供应链和国际小商品自由贸易中心创新平台，义乌市场在全球小商品供应链中的地位进一步凸显。到2</w:t>
      </w:r>
      <w:r>
        <w:rPr>
          <w:rFonts w:ascii="仿宋" w:hAnsi="仿宋" w:eastAsia="仿宋"/>
          <w:sz w:val="32"/>
          <w:szCs w:val="32"/>
        </w:rPr>
        <w:t>025</w:t>
      </w:r>
      <w:r>
        <w:rPr>
          <w:rFonts w:hint="eastAsia" w:ascii="仿宋" w:hAnsi="仿宋" w:eastAsia="仿宋"/>
          <w:sz w:val="32"/>
          <w:szCs w:val="32"/>
        </w:rPr>
        <w:t>年，争取培育3000家以上进口贸易主体，其中超千万主体占10%，进口平均增长率超20%，年进口突破千亿；整合200家以上二级市场，招募1500个以上城市经理人，布局15万家以上终端门店；布局30个海外“带你到中国展厅”和100个海外集货仓，收购代理1000个境外品牌，布局10000家销售门店；发展中转集拼业务，实现进口、出口、转口融合发展，实现转口贸易、保税加工均超100亿元。</w:t>
      </w:r>
    </w:p>
    <w:p>
      <w:pPr>
        <w:ind w:firstLine="640" w:firstLineChars="200"/>
        <w:rPr>
          <w:rFonts w:ascii="仿宋" w:hAnsi="仿宋" w:eastAsia="仿宋"/>
          <w:sz w:val="32"/>
          <w:szCs w:val="32"/>
        </w:rPr>
      </w:pPr>
    </w:p>
    <w:p>
      <w:pPr>
        <w:spacing w:afterLines="50" w:line="580" w:lineRule="exact"/>
        <w:jc w:val="center"/>
        <w:rPr>
          <w:rFonts w:ascii="黑体" w:hAnsi="黑体" w:eastAsia="黑体"/>
          <w:sz w:val="28"/>
          <w:szCs w:val="28"/>
        </w:rPr>
      </w:pPr>
      <w:r>
        <w:rPr>
          <w:rFonts w:hint="eastAsia" w:ascii="黑体" w:hAnsi="黑体" w:eastAsia="黑体"/>
          <w:sz w:val="28"/>
          <w:szCs w:val="28"/>
        </w:rPr>
        <w:t>表2</w:t>
      </w:r>
      <w:r>
        <w:rPr>
          <w:rFonts w:ascii="黑体" w:hAnsi="黑体" w:eastAsia="黑体"/>
          <w:sz w:val="28"/>
          <w:szCs w:val="28"/>
        </w:rPr>
        <w:t xml:space="preserve"> </w:t>
      </w:r>
      <w:r>
        <w:rPr>
          <w:rFonts w:hint="eastAsia" w:ascii="黑体" w:hAnsi="黑体" w:eastAsia="黑体"/>
          <w:sz w:val="28"/>
          <w:szCs w:val="28"/>
        </w:rPr>
        <w:t>“十四五”义乌市场主要发展指标</w:t>
      </w:r>
    </w:p>
    <w:tbl>
      <w:tblPr>
        <w:tblStyle w:val="15"/>
        <w:tblW w:w="5000" w:type="pct"/>
        <w:jc w:val="center"/>
        <w:tblLayout w:type="autofit"/>
        <w:tblCellMar>
          <w:top w:w="0" w:type="dxa"/>
          <w:left w:w="108" w:type="dxa"/>
          <w:bottom w:w="0" w:type="dxa"/>
          <w:right w:w="108" w:type="dxa"/>
        </w:tblCellMar>
      </w:tblPr>
      <w:tblGrid>
        <w:gridCol w:w="2661"/>
        <w:gridCol w:w="2575"/>
        <w:gridCol w:w="1900"/>
        <w:gridCol w:w="1386"/>
      </w:tblGrid>
      <w:tr>
        <w:tblPrEx>
          <w:tblCellMar>
            <w:top w:w="0" w:type="dxa"/>
            <w:left w:w="108" w:type="dxa"/>
            <w:bottom w:w="0" w:type="dxa"/>
            <w:right w:w="108" w:type="dxa"/>
          </w:tblCellMar>
        </w:tblPrEx>
        <w:trPr>
          <w:trHeight w:val="462" w:hRule="atLeast"/>
          <w:jc w:val="center"/>
        </w:trPr>
        <w:tc>
          <w:tcPr>
            <w:tcW w:w="1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指标名称</w:t>
            </w:r>
          </w:p>
        </w:tc>
        <w:tc>
          <w:tcPr>
            <w:tcW w:w="1511" w:type="pct"/>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b/>
                <w:color w:val="000000" w:themeColor="text1"/>
                <w:kern w:val="0"/>
                <w:sz w:val="20"/>
                <w:szCs w:val="20"/>
              </w:rPr>
            </w:pPr>
            <w:r>
              <w:rPr>
                <w:rFonts w:ascii="宋体" w:hAnsi="宋体" w:cs="宋体"/>
                <w:b/>
                <w:color w:val="000000" w:themeColor="text1"/>
                <w:kern w:val="0"/>
                <w:sz w:val="20"/>
                <w:szCs w:val="20"/>
              </w:rPr>
              <w:t>2019</w:t>
            </w:r>
            <w:r>
              <w:rPr>
                <w:rFonts w:hint="eastAsia" w:ascii="宋体" w:hAnsi="宋体" w:cs="宋体"/>
                <w:b/>
                <w:color w:val="000000" w:themeColor="text1"/>
                <w:kern w:val="0"/>
                <w:sz w:val="20"/>
                <w:szCs w:val="20"/>
              </w:rPr>
              <w:t>年</w:t>
            </w:r>
          </w:p>
        </w:tc>
        <w:tc>
          <w:tcPr>
            <w:tcW w:w="1115" w:type="pct"/>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b/>
                <w:color w:val="000000" w:themeColor="text1"/>
                <w:kern w:val="0"/>
                <w:sz w:val="20"/>
                <w:szCs w:val="20"/>
              </w:rPr>
            </w:pPr>
            <w:r>
              <w:rPr>
                <w:rFonts w:ascii="宋体" w:hAnsi="宋体" w:cs="宋体"/>
                <w:b/>
                <w:color w:val="000000" w:themeColor="text1"/>
                <w:kern w:val="0"/>
                <w:sz w:val="20"/>
                <w:szCs w:val="20"/>
              </w:rPr>
              <w:t>2025</w:t>
            </w:r>
            <w:r>
              <w:rPr>
                <w:rFonts w:hint="eastAsia" w:ascii="宋体" w:hAnsi="宋体" w:cs="宋体"/>
                <w:b/>
                <w:color w:val="000000" w:themeColor="text1"/>
                <w:kern w:val="0"/>
                <w:sz w:val="20"/>
                <w:szCs w:val="20"/>
              </w:rPr>
              <w:t>年目标</w:t>
            </w:r>
          </w:p>
        </w:tc>
        <w:tc>
          <w:tcPr>
            <w:tcW w:w="813" w:type="pct"/>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年均增长率</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集贸市场成交额</w:t>
            </w:r>
            <w:r>
              <w:rPr>
                <w:rFonts w:ascii="宋体" w:hAnsi="宋体" w:cs="宋体"/>
                <w:b/>
                <w:color w:val="000000" w:themeColor="text1"/>
                <w:kern w:val="0"/>
                <w:sz w:val="20"/>
                <w:szCs w:val="20"/>
              </w:rPr>
              <w:t>(</w:t>
            </w:r>
            <w:r>
              <w:rPr>
                <w:rFonts w:hint="eastAsia" w:ascii="宋体" w:hAnsi="宋体" w:cs="宋体"/>
                <w:b/>
                <w:color w:val="000000" w:themeColor="text1"/>
                <w:kern w:val="0"/>
                <w:sz w:val="20"/>
                <w:szCs w:val="20"/>
              </w:rPr>
              <w:t>亿元</w:t>
            </w:r>
            <w:r>
              <w:rPr>
                <w:rFonts w:ascii="宋体" w:hAnsi="宋体" w:cs="宋体"/>
                <w:b/>
                <w:color w:val="000000" w:themeColor="text1"/>
                <w:kern w:val="0"/>
                <w:sz w:val="20"/>
                <w:szCs w:val="20"/>
              </w:rPr>
              <w:t>)</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1779.54</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3000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9.5</w:t>
            </w:r>
            <w:r>
              <w:rPr>
                <w:rFonts w:ascii="宋体" w:hAnsi="宋体" w:cs="宋体"/>
                <w:color w:val="000000" w:themeColor="text1"/>
                <w:kern w:val="0"/>
                <w:sz w:val="20"/>
                <w:szCs w:val="20"/>
              </w:rPr>
              <w:t>%</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中国小商品城成交额</w:t>
            </w:r>
            <w:r>
              <w:rPr>
                <w:rFonts w:ascii="宋体" w:hAnsi="宋体" w:cs="宋体"/>
                <w:b/>
                <w:color w:val="000000" w:themeColor="text1"/>
                <w:kern w:val="0"/>
                <w:sz w:val="20"/>
                <w:szCs w:val="20"/>
              </w:rPr>
              <w:t>(</w:t>
            </w:r>
            <w:r>
              <w:rPr>
                <w:rFonts w:hint="eastAsia" w:ascii="宋体" w:hAnsi="宋体" w:cs="宋体"/>
                <w:b/>
                <w:color w:val="000000" w:themeColor="text1"/>
                <w:kern w:val="0"/>
                <w:sz w:val="20"/>
                <w:szCs w:val="20"/>
              </w:rPr>
              <w:t>亿元</w:t>
            </w:r>
            <w:r>
              <w:rPr>
                <w:rFonts w:ascii="宋体" w:hAnsi="宋体" w:cs="宋体"/>
                <w:b/>
                <w:color w:val="000000" w:themeColor="text1"/>
                <w:kern w:val="0"/>
                <w:sz w:val="20"/>
                <w:szCs w:val="20"/>
              </w:rPr>
              <w:t>)</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1537.42</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2500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9.3</w:t>
            </w:r>
            <w:r>
              <w:rPr>
                <w:rFonts w:ascii="宋体" w:hAnsi="宋体" w:cs="宋体"/>
                <w:color w:val="000000" w:themeColor="text1"/>
                <w:kern w:val="0"/>
                <w:sz w:val="20"/>
                <w:szCs w:val="20"/>
              </w:rPr>
              <w:t>%</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商贸货运量（万吨）</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 xml:space="preserve">8216 </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12000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8%</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快递业务量（亿件）</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65</w:t>
            </w:r>
            <w:r>
              <w:rPr>
                <w:rFonts w:hint="eastAsia" w:ascii="宋体" w:hAnsi="宋体" w:cs="宋体"/>
                <w:color w:val="000000" w:themeColor="text1"/>
                <w:kern w:val="0"/>
                <w:sz w:val="20"/>
                <w:szCs w:val="20"/>
              </w:rPr>
              <w:t>（2</w:t>
            </w:r>
            <w:r>
              <w:rPr>
                <w:rFonts w:ascii="宋体" w:hAnsi="宋体" w:cs="宋体"/>
                <w:color w:val="000000" w:themeColor="text1"/>
                <w:kern w:val="0"/>
                <w:sz w:val="20"/>
                <w:szCs w:val="20"/>
              </w:rPr>
              <w:t>020</w:t>
            </w:r>
            <w:r>
              <w:rPr>
                <w:rFonts w:hint="eastAsia" w:ascii="宋体" w:hAnsi="宋体" w:cs="宋体"/>
                <w:color w:val="000000" w:themeColor="text1"/>
                <w:kern w:val="0"/>
                <w:sz w:val="20"/>
                <w:szCs w:val="20"/>
              </w:rPr>
              <w:t>年）</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r>
              <w:rPr>
                <w:rFonts w:ascii="宋体" w:hAnsi="宋体" w:cs="宋体"/>
                <w:color w:val="000000" w:themeColor="text1"/>
                <w:kern w:val="0"/>
                <w:sz w:val="20"/>
                <w:szCs w:val="20"/>
              </w:rPr>
              <w:t>20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r>
              <w:rPr>
                <w:rFonts w:ascii="宋体" w:hAnsi="宋体" w:cs="宋体"/>
                <w:color w:val="000000" w:themeColor="text1"/>
                <w:kern w:val="0"/>
                <w:sz w:val="20"/>
                <w:szCs w:val="20"/>
              </w:rPr>
              <w:t>3.5</w:t>
            </w:r>
            <w:r>
              <w:rPr>
                <w:rFonts w:hint="eastAsia" w:ascii="宋体" w:hAnsi="宋体" w:cs="宋体"/>
                <w:color w:val="000000" w:themeColor="text1"/>
                <w:kern w:val="0"/>
                <w:sz w:val="20"/>
                <w:szCs w:val="20"/>
              </w:rPr>
              <w:t>%</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电子商务交易额（亿元）</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3000</w:t>
            </w:r>
            <w:r>
              <w:rPr>
                <w:rFonts w:hint="eastAsia" w:ascii="宋体" w:hAnsi="宋体" w:cs="宋体"/>
                <w:color w:val="000000" w:themeColor="text1"/>
                <w:kern w:val="0"/>
                <w:sz w:val="20"/>
                <w:szCs w:val="20"/>
              </w:rPr>
              <w:t>（2</w:t>
            </w:r>
            <w:r>
              <w:rPr>
                <w:rFonts w:ascii="宋体" w:hAnsi="宋体" w:cs="宋体"/>
                <w:color w:val="000000" w:themeColor="text1"/>
                <w:kern w:val="0"/>
                <w:sz w:val="20"/>
                <w:szCs w:val="20"/>
              </w:rPr>
              <w:t>020</w:t>
            </w:r>
            <w:r>
              <w:rPr>
                <w:rFonts w:hint="eastAsia" w:ascii="宋体" w:hAnsi="宋体" w:cs="宋体"/>
                <w:color w:val="000000" w:themeColor="text1"/>
                <w:kern w:val="0"/>
                <w:sz w:val="20"/>
                <w:szCs w:val="20"/>
              </w:rPr>
              <w:t xml:space="preserve">） </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5000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经贸类展会数量（个）</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37(2020年)</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70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15%</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展览面积（万平方米）</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78.33（2020年）</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120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11%</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新增投资</w:t>
            </w:r>
            <w:r>
              <w:rPr>
                <w:rFonts w:ascii="宋体" w:hAnsi="宋体" w:cs="宋体"/>
                <w:b/>
                <w:color w:val="000000" w:themeColor="text1"/>
                <w:kern w:val="0"/>
                <w:sz w:val="20"/>
                <w:szCs w:val="20"/>
              </w:rPr>
              <w:t>(亿元)</w:t>
            </w:r>
          </w:p>
        </w:tc>
        <w:tc>
          <w:tcPr>
            <w:tcW w:w="3439" w:type="pct"/>
            <w:gridSpan w:val="3"/>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Theme="minorEastAsia" w:hAnsiTheme="minorEastAsia"/>
                <w:color w:val="000000" w:themeColor="text1"/>
                <w:szCs w:val="21"/>
              </w:rPr>
              <w:t>128.5</w:t>
            </w:r>
            <w:r>
              <w:rPr>
                <w:rFonts w:hint="eastAsia" w:ascii="宋体" w:hAnsi="宋体" w:cs="宋体"/>
                <w:color w:val="000000" w:themeColor="text1"/>
                <w:kern w:val="0"/>
                <w:sz w:val="20"/>
                <w:szCs w:val="20"/>
              </w:rPr>
              <w:t>（“十四五”期间）</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新增建设用地</w:t>
            </w:r>
            <w:r>
              <w:rPr>
                <w:rFonts w:ascii="宋体" w:hAnsi="宋体" w:cs="宋体"/>
                <w:b/>
                <w:color w:val="000000" w:themeColor="text1"/>
                <w:kern w:val="0"/>
                <w:sz w:val="20"/>
                <w:szCs w:val="20"/>
              </w:rPr>
              <w:t>(</w:t>
            </w:r>
            <w:r>
              <w:rPr>
                <w:rFonts w:hint="eastAsia" w:ascii="宋体" w:hAnsi="宋体" w:cs="宋体"/>
                <w:b/>
                <w:color w:val="000000" w:themeColor="text1"/>
                <w:kern w:val="0"/>
                <w:sz w:val="20"/>
                <w:szCs w:val="20"/>
              </w:rPr>
              <w:t>亩</w:t>
            </w:r>
            <w:r>
              <w:rPr>
                <w:rFonts w:ascii="宋体" w:hAnsi="宋体" w:cs="宋体"/>
                <w:b/>
                <w:color w:val="000000" w:themeColor="text1"/>
                <w:kern w:val="0"/>
                <w:sz w:val="20"/>
                <w:szCs w:val="20"/>
              </w:rPr>
              <w:t>)</w:t>
            </w:r>
          </w:p>
        </w:tc>
        <w:tc>
          <w:tcPr>
            <w:tcW w:w="3439" w:type="pct"/>
            <w:gridSpan w:val="3"/>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1730.77（“十四五”期间）</w:t>
            </w:r>
          </w:p>
        </w:tc>
      </w:tr>
    </w:tbl>
    <w:p>
      <w:pPr>
        <w:spacing w:line="580" w:lineRule="exact"/>
        <w:ind w:firstLine="640" w:firstLineChars="200"/>
        <w:rPr>
          <w:rFonts w:ascii="仿宋" w:hAnsi="仿宋" w:eastAsia="仿宋" w:cs="仿宋"/>
          <w:sz w:val="32"/>
          <w:szCs w:val="32"/>
        </w:rPr>
      </w:pPr>
    </w:p>
    <w:p>
      <w:pPr>
        <w:pStyle w:val="2"/>
        <w:tabs>
          <w:tab w:val="left" w:pos="3560"/>
        </w:tabs>
        <w:spacing w:before="120" w:after="120" w:line="660" w:lineRule="exact"/>
        <w:ind w:firstLine="720" w:firstLineChars="200"/>
        <w:rPr>
          <w:rFonts w:ascii="黑体" w:hAnsi="黑体" w:eastAsia="黑体" w:cs="Times New Roman"/>
          <w:b w:val="0"/>
          <w:sz w:val="36"/>
          <w:szCs w:val="36"/>
        </w:rPr>
      </w:pPr>
      <w:bookmarkStart w:id="48" w:name="_Toc61205012"/>
      <w:r>
        <w:rPr>
          <w:rFonts w:hint="eastAsia" w:ascii="黑体" w:hAnsi="黑体" w:eastAsia="黑体" w:cs="Times New Roman"/>
          <w:b w:val="0"/>
          <w:sz w:val="36"/>
          <w:szCs w:val="36"/>
        </w:rPr>
        <w:t>四</w:t>
      </w:r>
      <w:r>
        <w:rPr>
          <w:rFonts w:ascii="黑体" w:hAnsi="黑体" w:eastAsia="黑体" w:cs="Times New Roman"/>
          <w:b w:val="0"/>
          <w:sz w:val="36"/>
          <w:szCs w:val="36"/>
        </w:rPr>
        <w:t>、主要任务</w:t>
      </w:r>
      <w:bookmarkEnd w:id="4"/>
      <w:bookmarkEnd w:id="48"/>
      <w:r>
        <w:rPr>
          <w:rFonts w:ascii="黑体" w:hAnsi="黑体" w:eastAsia="黑体" w:cs="Times New Roman"/>
          <w:b w:val="0"/>
          <w:sz w:val="36"/>
          <w:szCs w:val="36"/>
        </w:rPr>
        <w:tab/>
      </w:r>
    </w:p>
    <w:p>
      <w:pPr>
        <w:pStyle w:val="3"/>
        <w:spacing w:before="120" w:after="120" w:line="560" w:lineRule="exact"/>
        <w:ind w:firstLine="643" w:firstLineChars="200"/>
        <w:rPr>
          <w:rFonts w:ascii="楷体_GB2312" w:eastAsia="楷体_GB2312"/>
          <w:bCs w:val="0"/>
          <w:kern w:val="0"/>
          <w:szCs w:val="20"/>
        </w:rPr>
      </w:pPr>
      <w:bookmarkStart w:id="49" w:name="_Toc61205013"/>
      <w:r>
        <w:rPr>
          <w:rFonts w:hint="eastAsia" w:ascii="楷体_GB2312" w:eastAsia="楷体_GB2312"/>
          <w:bCs w:val="0"/>
          <w:kern w:val="0"/>
          <w:szCs w:val="20"/>
        </w:rPr>
        <w:t>（一）深化市场化改革，优化要素资源配置</w:t>
      </w:r>
      <w:bookmarkEnd w:id="49"/>
    </w:p>
    <w:p>
      <w:pPr>
        <w:ind w:firstLine="640" w:firstLineChars="200"/>
        <w:rPr>
          <w:rFonts w:ascii="仿宋" w:hAnsi="仿宋" w:eastAsia="仿宋" w:cs="仿宋"/>
          <w:sz w:val="32"/>
          <w:szCs w:val="32"/>
        </w:rPr>
      </w:pPr>
      <w:r>
        <w:rPr>
          <w:rFonts w:hint="eastAsia" w:ascii="仿宋" w:hAnsi="仿宋" w:eastAsia="仿宋" w:cs="仿宋"/>
          <w:sz w:val="32"/>
          <w:szCs w:val="32"/>
        </w:rPr>
        <w:t>发挥市场在</w:t>
      </w:r>
      <w:r>
        <w:rPr>
          <w:rFonts w:ascii="仿宋" w:hAnsi="仿宋" w:eastAsia="仿宋" w:cs="仿宋"/>
          <w:sz w:val="32"/>
          <w:szCs w:val="32"/>
        </w:rPr>
        <w:t>资源配置中的决定性作用</w:t>
      </w:r>
      <w:r>
        <w:rPr>
          <w:rFonts w:hint="eastAsia" w:ascii="仿宋" w:hAnsi="仿宋" w:eastAsia="仿宋" w:cs="仿宋"/>
          <w:sz w:val="32"/>
          <w:szCs w:val="32"/>
        </w:rPr>
        <w:t>，发挥</w:t>
      </w:r>
      <w:r>
        <w:rPr>
          <w:rFonts w:ascii="仿宋" w:hAnsi="仿宋" w:eastAsia="仿宋" w:cs="仿宋"/>
          <w:sz w:val="32"/>
          <w:szCs w:val="32"/>
        </w:rPr>
        <w:t>政府规划引领和公共服务作用，</w:t>
      </w:r>
      <w:r>
        <w:rPr>
          <w:rFonts w:hint="eastAsia" w:ascii="仿宋" w:hAnsi="仿宋" w:eastAsia="仿宋" w:cs="仿宋"/>
          <w:sz w:val="32"/>
          <w:szCs w:val="32"/>
        </w:rPr>
        <w:t>以市场资源要素优化配置为主线，以差别化措施为手段，引导经营户服务和市场培育有机融合，实现各类市场要素的相互协同提升。</w:t>
      </w:r>
    </w:p>
    <w:p>
      <w:pPr>
        <w:pStyle w:val="4"/>
        <w:spacing w:before="0" w:after="0" w:line="240" w:lineRule="auto"/>
        <w:ind w:firstLine="640" w:firstLineChars="200"/>
        <w:rPr>
          <w:rFonts w:ascii="楷体" w:hAnsi="楷体" w:eastAsia="楷体"/>
          <w:b w:val="0"/>
          <w:bCs w:val="0"/>
        </w:rPr>
      </w:pPr>
      <w:bookmarkStart w:id="50" w:name="_Toc61205014"/>
      <w:r>
        <w:rPr>
          <w:rFonts w:hint="eastAsia" w:ascii="楷体" w:hAnsi="楷体" w:eastAsia="楷体"/>
          <w:b w:val="0"/>
          <w:bCs w:val="0"/>
        </w:rPr>
        <w:t>1.推动商位资源市场化配置</w:t>
      </w:r>
      <w:bookmarkEnd w:id="50"/>
    </w:p>
    <w:p>
      <w:pPr>
        <w:ind w:firstLine="643" w:firstLineChars="200"/>
        <w:rPr>
          <w:rFonts w:ascii="仿宋" w:hAnsi="仿宋" w:eastAsia="仿宋" w:cs="仿宋"/>
          <w:sz w:val="32"/>
          <w:szCs w:val="32"/>
        </w:rPr>
      </w:pPr>
      <w:r>
        <w:rPr>
          <w:rFonts w:hint="eastAsia" w:ascii="仿宋" w:hAnsi="仿宋" w:eastAsia="仿宋" w:cs="仿宋"/>
          <w:b/>
          <w:bCs/>
          <w:sz w:val="32"/>
          <w:szCs w:val="32"/>
        </w:rPr>
        <w:t>推动</w:t>
      </w:r>
      <w:r>
        <w:rPr>
          <w:rFonts w:ascii="仿宋" w:hAnsi="仿宋" w:eastAsia="仿宋" w:cs="仿宋"/>
          <w:b/>
          <w:bCs/>
          <w:sz w:val="32"/>
          <w:szCs w:val="32"/>
        </w:rPr>
        <w:t>商位市场化流转。</w:t>
      </w:r>
      <w:r>
        <w:rPr>
          <w:rFonts w:hint="eastAsia" w:ascii="仿宋" w:hAnsi="仿宋" w:eastAsia="仿宋" w:cs="仿宋"/>
          <w:sz w:val="32"/>
          <w:szCs w:val="32"/>
        </w:rPr>
        <w:t>充分运用市场化手段开展商位回购及后续处置等工作</w:t>
      </w:r>
      <w:r>
        <w:rPr>
          <w:rFonts w:hint="eastAsia" w:ascii="仿宋" w:hAnsi="仿宋" w:eastAsia="仿宋" w:cs="仿宋"/>
          <w:color w:val="000000" w:themeColor="text1"/>
          <w:sz w:val="32"/>
          <w:szCs w:val="32"/>
        </w:rPr>
        <w:t>，建立商位</w:t>
      </w:r>
      <w:r>
        <w:rPr>
          <w:rFonts w:hint="eastAsia" w:ascii="仿宋" w:hAnsi="仿宋" w:eastAsia="仿宋" w:cs="仿宋"/>
          <w:sz w:val="32"/>
          <w:szCs w:val="32"/>
        </w:rPr>
        <w:t>市场化收回和流转机制，推动市场资源要素有序流转，降低商户经营成本</w:t>
      </w:r>
      <w:r>
        <w:rPr>
          <w:rFonts w:ascii="仿宋" w:hAnsi="仿宋" w:eastAsia="仿宋" w:cs="仿宋"/>
          <w:sz w:val="32"/>
          <w:szCs w:val="32"/>
        </w:rPr>
        <w:t>。</w:t>
      </w:r>
      <w:r>
        <w:rPr>
          <w:rFonts w:hint="eastAsia" w:ascii="仿宋" w:hAnsi="仿宋" w:eastAsia="仿宋" w:cs="仿宋"/>
          <w:sz w:val="32"/>
          <w:szCs w:val="32"/>
        </w:rPr>
        <w:t>根据商位分级评定结果实施差异化配置市场商位资源和服务，稳步推进市场商位市场化配置。</w:t>
      </w:r>
    </w:p>
    <w:p>
      <w:pPr>
        <w:ind w:firstLine="643" w:firstLineChars="200"/>
        <w:rPr>
          <w:rFonts w:ascii="仿宋" w:hAnsi="仿宋" w:eastAsia="仿宋" w:cs="仿宋"/>
          <w:sz w:val="32"/>
          <w:szCs w:val="32"/>
        </w:rPr>
      </w:pPr>
      <w:r>
        <w:rPr>
          <w:rFonts w:hint="eastAsia" w:ascii="仿宋" w:hAnsi="仿宋" w:eastAsia="仿宋" w:cs="仿宋"/>
          <w:b/>
          <w:bCs/>
          <w:sz w:val="32"/>
          <w:szCs w:val="32"/>
        </w:rPr>
        <w:t>推动场内</w:t>
      </w:r>
      <w:r>
        <w:rPr>
          <w:rFonts w:ascii="仿宋" w:hAnsi="仿宋" w:eastAsia="仿宋" w:cs="仿宋"/>
          <w:b/>
          <w:bCs/>
          <w:sz w:val="32"/>
          <w:szCs w:val="32"/>
        </w:rPr>
        <w:t>经营主体集群化升级。</w:t>
      </w:r>
      <w:r>
        <w:rPr>
          <w:rFonts w:hint="eastAsia" w:ascii="仿宋" w:hAnsi="仿宋" w:eastAsia="仿宋" w:cs="仿宋"/>
          <w:sz w:val="32"/>
          <w:szCs w:val="32"/>
        </w:rPr>
        <w:t>建立健全商位使用权人的激励和倒逼机制，实现商位资源“合理配、优质配、合法配、高效配”的合理有序流转，形成大商户、龙头商户、典型商户示范，带动场内经营主体集群化升级。</w:t>
      </w:r>
    </w:p>
    <w:p>
      <w:pPr>
        <w:pStyle w:val="4"/>
        <w:spacing w:before="0" w:after="0" w:line="240" w:lineRule="auto"/>
        <w:ind w:firstLine="640" w:firstLineChars="200"/>
        <w:rPr>
          <w:rFonts w:ascii="楷体" w:hAnsi="楷体" w:eastAsia="楷体"/>
          <w:b w:val="0"/>
          <w:bCs w:val="0"/>
        </w:rPr>
      </w:pPr>
      <w:bookmarkStart w:id="51" w:name="_Toc61205015"/>
      <w:r>
        <w:rPr>
          <w:rFonts w:hint="eastAsia" w:ascii="楷体" w:hAnsi="楷体" w:eastAsia="楷体"/>
          <w:b w:val="0"/>
          <w:bCs w:val="0"/>
        </w:rPr>
        <w:t>2.加强市场资源优品化建设</w:t>
      </w:r>
      <w:bookmarkEnd w:id="51"/>
    </w:p>
    <w:p>
      <w:pPr>
        <w:ind w:firstLine="643" w:firstLineChars="200"/>
        <w:rPr>
          <w:rFonts w:ascii="仿宋" w:hAnsi="仿宋" w:eastAsia="仿宋" w:cs="仿宋"/>
          <w:sz w:val="32"/>
          <w:szCs w:val="32"/>
        </w:rPr>
      </w:pPr>
      <w:r>
        <w:rPr>
          <w:rFonts w:hint="eastAsia" w:ascii="仿宋" w:hAnsi="仿宋" w:eastAsia="仿宋" w:cs="仿宋"/>
          <w:b/>
          <w:bCs/>
          <w:sz w:val="32"/>
          <w:szCs w:val="32"/>
        </w:rPr>
        <w:t>建设优品生态市场</w:t>
      </w:r>
      <w:r>
        <w:rPr>
          <w:rFonts w:ascii="仿宋" w:hAnsi="仿宋" w:eastAsia="仿宋" w:cs="仿宋"/>
          <w:b/>
          <w:bCs/>
          <w:sz w:val="32"/>
          <w:szCs w:val="32"/>
        </w:rPr>
        <w:t>。</w:t>
      </w:r>
      <w:r>
        <w:rPr>
          <w:rFonts w:hint="eastAsia" w:ascii="仿宋" w:hAnsi="仿宋" w:eastAsia="仿宋" w:cs="仿宋"/>
          <w:sz w:val="32"/>
          <w:szCs w:val="32"/>
        </w:rPr>
        <w:t>全面有序推行“品牌进市场”“标准进市场” “设计进市场”，以品牌增值提升场内商品的市场认可度、知名度和附加值，加快实现由“义乌产品”向“义乌品牌”转变；以标准为核心促进场内商品品质提升，实现由“义乌产品”向“义乌标准”转变；以设计增强场内商品的引领力和吸引力，逐步实现由“义乌商品”向“义乌品牌”转变，由“义乌品牌”向“义乌标准”转变，由“义乌标准”向“义乌设计”转变。通过“商品—品牌—标准—设计”三级转变的跃升，着力打造集商品、品牌、标准、设计于一体的优品生态市场。</w:t>
      </w:r>
    </w:p>
    <w:p>
      <w:pPr>
        <w:ind w:firstLine="643" w:firstLineChars="200"/>
        <w:rPr>
          <w:rFonts w:ascii="仿宋" w:hAnsi="仿宋" w:eastAsia="仿宋" w:cs="仿宋"/>
          <w:sz w:val="32"/>
          <w:szCs w:val="32"/>
        </w:rPr>
      </w:pPr>
      <w:r>
        <w:rPr>
          <w:rFonts w:hint="eastAsia" w:ascii="仿宋" w:hAnsi="仿宋" w:eastAsia="仿宋" w:cs="仿宋"/>
          <w:b/>
          <w:bCs/>
          <w:sz w:val="32"/>
          <w:szCs w:val="32"/>
        </w:rPr>
        <w:t>夯实商品资源产业化基础。</w:t>
      </w:r>
      <w:r>
        <w:rPr>
          <w:rFonts w:hint="eastAsia" w:ascii="仿宋" w:hAnsi="仿宋" w:eastAsia="仿宋" w:cs="仿宋"/>
          <w:sz w:val="32"/>
          <w:szCs w:val="32"/>
        </w:rPr>
        <w:t>积极引导传统小商品加工企业顺应市场需求和技术进步趋势开展产品质量提升行动，增强优质适用产品的供给能力和市场适应能力。引导激励企业顺应消费提质和智能技术发展趋势，加快新品研发和产品智能化升级，优化场内小商品品类结构和小商品产业能级。以补链条、强龙头、聚集群为方向，围绕市场新兴行业，理清产业链上下游关键环节，强化“链长制”专业化精准招商，实现定向承接、集群引进新兴产业。依托义乌物流集散优势，加强产销异地合作，打通产销异地合作模式的堵点和痛点，增强异地销售产业支撑。</w:t>
      </w:r>
    </w:p>
    <w:p>
      <w:pPr>
        <w:pStyle w:val="4"/>
        <w:spacing w:before="0" w:after="0" w:line="240" w:lineRule="auto"/>
        <w:ind w:firstLine="640" w:firstLineChars="200"/>
        <w:rPr>
          <w:rFonts w:ascii="楷体" w:hAnsi="楷体" w:eastAsia="楷体"/>
          <w:b w:val="0"/>
          <w:bCs w:val="0"/>
        </w:rPr>
      </w:pPr>
      <w:bookmarkStart w:id="52" w:name="_Toc61205016"/>
      <w:r>
        <w:rPr>
          <w:rFonts w:ascii="楷体" w:hAnsi="楷体" w:eastAsia="楷体"/>
          <w:b w:val="0"/>
          <w:bCs w:val="0"/>
        </w:rPr>
        <w:t>3</w:t>
      </w:r>
      <w:r>
        <w:rPr>
          <w:rFonts w:hint="eastAsia" w:ascii="楷体" w:hAnsi="楷体" w:eastAsia="楷体"/>
          <w:b w:val="0"/>
          <w:bCs w:val="0"/>
        </w:rPr>
        <w:t>.推进管理资源服务化转变</w:t>
      </w:r>
      <w:bookmarkEnd w:id="52"/>
    </w:p>
    <w:p>
      <w:pPr>
        <w:ind w:firstLine="643" w:firstLineChars="200"/>
        <w:rPr>
          <w:rFonts w:ascii="仿宋" w:hAnsi="仿宋" w:eastAsia="仿宋" w:cs="仿宋"/>
          <w:sz w:val="32"/>
          <w:szCs w:val="32"/>
        </w:rPr>
      </w:pPr>
      <w:r>
        <w:rPr>
          <w:rFonts w:hint="eastAsia" w:ascii="仿宋" w:hAnsi="仿宋" w:eastAsia="仿宋" w:cs="仿宋"/>
          <w:b/>
          <w:bCs/>
          <w:sz w:val="32"/>
          <w:szCs w:val="32"/>
        </w:rPr>
        <w:t>打造市场智能化服务体系。</w:t>
      </w:r>
      <w:r>
        <w:rPr>
          <w:rFonts w:hint="eastAsia" w:ascii="仿宋" w:hAnsi="仿宋" w:eastAsia="仿宋" w:cs="仿宋"/>
          <w:sz w:val="32"/>
          <w:szCs w:val="32"/>
        </w:rPr>
        <w:t>围绕场内商户经营需求，把握市场管理智能化、数字化趋势，加快打造新型市场管理服务团队，提供专业化、技术性、职业化市场综合服务，促进市场管理向科技型、数字型、智能型转变。依托义乌市场管理经验丰富和管理团队密切联系经营商户、掌握商户经营需求的优势，积极推进市场经营商户全生命周期、全流程综合服务，形成便利、快捷、周到、全覆盖的市场智能化服务体系。</w:t>
      </w:r>
    </w:p>
    <w:p>
      <w:pPr>
        <w:ind w:firstLine="643" w:firstLineChars="200"/>
        <w:rPr>
          <w:rFonts w:ascii="仿宋" w:hAnsi="仿宋" w:eastAsia="仿宋" w:cs="仿宋"/>
          <w:sz w:val="32"/>
          <w:szCs w:val="32"/>
        </w:rPr>
      </w:pPr>
      <w:r>
        <w:rPr>
          <w:rFonts w:hint="eastAsia" w:ascii="仿宋" w:hAnsi="仿宋" w:eastAsia="仿宋" w:cs="仿宋"/>
          <w:b/>
          <w:bCs/>
          <w:sz w:val="32"/>
          <w:szCs w:val="32"/>
        </w:rPr>
        <w:t>防范</w:t>
      </w:r>
      <w:r>
        <w:rPr>
          <w:rFonts w:ascii="仿宋" w:hAnsi="仿宋" w:eastAsia="仿宋" w:cs="仿宋"/>
          <w:b/>
          <w:bCs/>
          <w:sz w:val="32"/>
          <w:szCs w:val="32"/>
        </w:rPr>
        <w:t>和化解市场重大风险。</w:t>
      </w:r>
      <w:r>
        <w:rPr>
          <w:rFonts w:hint="eastAsia" w:ascii="仿宋" w:hAnsi="仿宋" w:eastAsia="仿宋" w:cs="仿宋"/>
          <w:sz w:val="32"/>
          <w:szCs w:val="32"/>
        </w:rPr>
        <w:t>完善市场风险预警、纠纷调解、案件处置、信用服务体系，丰富市场休闲、娱乐、商务、教育等功能配套服务设施，全力打造出全球一流的营商服务环境。</w:t>
      </w:r>
    </w:p>
    <w:p>
      <w:pPr>
        <w:ind w:firstLine="640" w:firstLineChars="200"/>
        <w:rPr>
          <w:rFonts w:ascii="仿宋" w:hAnsi="仿宋" w:eastAsia="仿宋" w:cs="仿宋"/>
          <w:sz w:val="32"/>
          <w:szCs w:val="32"/>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仿宋" w:hAnsi="仿宋" w:eastAsia="仿宋" w:cs="仿宋"/>
                <w:sz w:val="32"/>
                <w:szCs w:val="32"/>
              </w:rPr>
            </w:pPr>
            <w:r>
              <w:rPr>
                <w:rFonts w:hint="eastAsia" w:ascii="仿宋" w:hAnsi="仿宋" w:eastAsia="仿宋" w:cs="仿宋"/>
                <w:b/>
                <w:sz w:val="28"/>
                <w:szCs w:val="28"/>
              </w:rPr>
              <w:t>专栏1：义乌市场人货场协同提升专项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6"/>
              <w:spacing w:beforeLines="50" w:line="360" w:lineRule="auto"/>
              <w:ind w:left="27" w:leftChars="13" w:firstLine="568" w:firstLineChars="248"/>
              <w:rPr>
                <w:rFonts w:ascii="楷体" w:hAnsi="楷体" w:eastAsia="楷体" w:cs="楷体"/>
                <w:sz w:val="24"/>
              </w:rPr>
            </w:pPr>
            <w:r>
              <w:rPr>
                <w:rFonts w:hint="eastAsia" w:ascii="楷体" w:hAnsi="楷体" w:eastAsia="楷体" w:cs="仿宋_GB2312"/>
                <w:b/>
                <w:bCs/>
                <w:spacing w:val="-6"/>
                <w:sz w:val="24"/>
              </w:rPr>
              <w:t>1.</w:t>
            </w:r>
            <w:r>
              <w:rPr>
                <w:rFonts w:hint="eastAsia" w:ascii="楷体" w:hAnsi="楷体" w:eastAsia="楷体" w:cs="楷体"/>
                <w:b/>
                <w:bCs/>
                <w:sz w:val="24"/>
              </w:rPr>
              <w:t>稳步推动商位市场化配置改革。</w:t>
            </w:r>
            <w:r>
              <w:rPr>
                <w:rFonts w:hint="eastAsia" w:ascii="楷体" w:hAnsi="楷体" w:eastAsia="楷体" w:cs="楷体"/>
                <w:kern w:val="0"/>
                <w:sz w:val="24"/>
              </w:rPr>
              <w:t>以优化资源要素市场化配置为主线，</w:t>
            </w:r>
            <w:r>
              <w:rPr>
                <w:rFonts w:hint="eastAsia" w:ascii="楷体" w:hAnsi="楷体" w:eastAsia="楷体" w:cs="楷体"/>
                <w:sz w:val="24"/>
              </w:rPr>
              <w:t>根据市场商位分级评定结果实施差异化配置市场商位资源和服务，促进商位资源合理有序流转，形成扶优汰劣的激励和倒逼机制，实现商位资源的市场化调整，推进经营商户提质升级。</w:t>
            </w:r>
          </w:p>
          <w:p>
            <w:pPr>
              <w:pStyle w:val="6"/>
              <w:spacing w:line="360" w:lineRule="auto"/>
              <w:ind w:left="27" w:leftChars="13" w:firstLine="568" w:firstLineChars="248"/>
              <w:rPr>
                <w:rFonts w:ascii="楷体" w:hAnsi="楷体" w:eastAsia="楷体"/>
                <w:sz w:val="24"/>
              </w:rPr>
            </w:pPr>
            <w:r>
              <w:rPr>
                <w:rFonts w:hint="eastAsia" w:ascii="楷体" w:hAnsi="楷体" w:eastAsia="楷体" w:cs="仿宋_GB2312"/>
                <w:b/>
                <w:bCs/>
                <w:spacing w:val="-6"/>
                <w:sz w:val="24"/>
              </w:rPr>
              <w:t>2.义乌优品市场建设。</w:t>
            </w:r>
            <w:r>
              <w:rPr>
                <w:rFonts w:hint="eastAsia" w:ascii="楷体" w:hAnsi="楷体" w:eastAsia="楷体" w:cs="楷体"/>
                <w:sz w:val="24"/>
              </w:rPr>
              <w:t>依托市场商位要素改革，全面推行“品牌进市场”，鼓励商户提质创牌，引导商品提档升级。全面推行“标准进市场”，打造小商品品质高地。全面推行“设计进市场”，构建义乌市场设计产业生态。加快小商品标准、设计和品牌建设，提升商品品质，强化商品自身竞争力，着力赋能品牌、标准、设计一体的优品市场。</w:t>
            </w:r>
            <w:r>
              <w:rPr>
                <w:rFonts w:hint="eastAsia" w:ascii="楷体" w:hAnsi="楷体" w:eastAsia="楷体"/>
                <w:sz w:val="24"/>
              </w:rPr>
              <w:t>（责任单位：）</w:t>
            </w:r>
          </w:p>
          <w:p>
            <w:pPr>
              <w:pStyle w:val="6"/>
              <w:spacing w:afterLines="50" w:line="360" w:lineRule="auto"/>
              <w:ind w:left="27" w:leftChars="13" w:firstLine="568" w:firstLineChars="248"/>
              <w:rPr>
                <w:rFonts w:ascii="仿宋" w:hAnsi="仿宋" w:eastAsia="仿宋" w:cs="仿宋"/>
                <w:sz w:val="24"/>
                <w:szCs w:val="32"/>
              </w:rPr>
            </w:pPr>
            <w:r>
              <w:rPr>
                <w:rFonts w:hint="eastAsia" w:ascii="楷体" w:hAnsi="楷体" w:eastAsia="楷体" w:cs="仿宋_GB2312"/>
                <w:b/>
                <w:bCs/>
                <w:spacing w:val="-6"/>
                <w:sz w:val="24"/>
              </w:rPr>
              <w:t>3.市场信用服务建设。</w:t>
            </w:r>
            <w:r>
              <w:rPr>
                <w:rFonts w:hint="eastAsia" w:ascii="楷体" w:hAnsi="楷体" w:eastAsia="楷体" w:cs="楷体"/>
                <w:sz w:val="24"/>
              </w:rPr>
              <w:t>围绕外贸采购、市场经营户两类主体，贸易风险防控机制和贸易信用数据中心建设两条主线，归集市场经营主体贸易纠纷、侵权、交易订单、资金流水、物流等贸易数据，构建贸易服务链条，建立数据可信、物流可溯、过程封闭、信息对称的商贸信用数据中心，对接全市信用数据库等数据资源，建立市场经营主体信用评价机制，定期向社会公开失信黑名单。优化征信模型，整合利用商户信用数据与金融机构合作开发信用金融产品，探索市场信用金融服务。</w:t>
            </w:r>
          </w:p>
        </w:tc>
      </w:tr>
    </w:tbl>
    <w:p>
      <w:pPr>
        <w:spacing w:line="300" w:lineRule="auto"/>
        <w:ind w:firstLine="640" w:firstLineChars="200"/>
        <w:rPr>
          <w:rFonts w:ascii="仿宋" w:hAnsi="仿宋" w:eastAsia="仿宋" w:cs="仿宋"/>
          <w:sz w:val="32"/>
          <w:szCs w:val="32"/>
        </w:rPr>
      </w:pPr>
    </w:p>
    <w:p>
      <w:pPr>
        <w:pStyle w:val="3"/>
        <w:spacing w:before="120" w:after="120" w:line="560" w:lineRule="exact"/>
        <w:ind w:firstLine="643" w:firstLineChars="200"/>
        <w:rPr>
          <w:rFonts w:ascii="楷体_GB2312" w:eastAsia="楷体_GB2312"/>
          <w:bCs w:val="0"/>
          <w:kern w:val="0"/>
          <w:szCs w:val="20"/>
        </w:rPr>
      </w:pPr>
      <w:bookmarkStart w:id="53" w:name="_Toc61205017"/>
      <w:r>
        <w:rPr>
          <w:rFonts w:hint="eastAsia" w:ascii="楷体_GB2312" w:eastAsia="楷体_GB2312"/>
          <w:bCs w:val="0"/>
          <w:kern w:val="0"/>
          <w:szCs w:val="20"/>
        </w:rPr>
        <w:t>（二）打造“生态圈”，优化市场空间布局</w:t>
      </w:r>
      <w:bookmarkEnd w:id="53"/>
    </w:p>
    <w:p>
      <w:pPr>
        <w:ind w:firstLine="640" w:firstLineChars="200"/>
        <w:rPr>
          <w:rFonts w:ascii="仿宋" w:hAnsi="仿宋" w:eastAsia="仿宋" w:cs="仿宋"/>
          <w:bCs/>
          <w:sz w:val="32"/>
          <w:szCs w:val="32"/>
        </w:rPr>
      </w:pPr>
      <w:r>
        <w:rPr>
          <w:rFonts w:ascii="仿宋" w:hAnsi="仿宋" w:eastAsia="仿宋" w:cs="仿宋"/>
          <w:sz w:val="32"/>
          <w:szCs w:val="32"/>
        </w:rPr>
        <w:t>以</w:t>
      </w:r>
      <w:r>
        <w:rPr>
          <w:rFonts w:hint="eastAsia" w:ascii="仿宋" w:hAnsi="仿宋" w:eastAsia="仿宋" w:cs="仿宋"/>
          <w:sz w:val="32"/>
          <w:szCs w:val="32"/>
        </w:rPr>
        <w:t>“两个样板”城市建设为引领，结合浙江自贸试验区金义片区发展规划，</w:t>
      </w:r>
      <w:r>
        <w:rPr>
          <w:rFonts w:ascii="仿宋" w:hAnsi="仿宋" w:eastAsia="仿宋" w:cs="仿宋"/>
          <w:sz w:val="32"/>
          <w:szCs w:val="32"/>
        </w:rPr>
        <w:t>盘活</w:t>
      </w:r>
      <w:r>
        <w:rPr>
          <w:rFonts w:hint="eastAsia" w:ascii="仿宋" w:hAnsi="仿宋" w:eastAsia="仿宋" w:cs="仿宋"/>
          <w:bCs/>
          <w:sz w:val="32"/>
          <w:szCs w:val="32"/>
        </w:rPr>
        <w:t>市场商位空间资源，</w:t>
      </w:r>
      <w:r>
        <w:rPr>
          <w:rFonts w:hint="eastAsia" w:ascii="仿宋" w:hAnsi="仿宋" w:eastAsia="仿宋" w:cs="仿宋"/>
          <w:sz w:val="32"/>
          <w:szCs w:val="32"/>
        </w:rPr>
        <w:t>改造提升存量市场空间，加快建设重点市场，</w:t>
      </w:r>
      <w:r>
        <w:rPr>
          <w:rFonts w:hint="eastAsia" w:ascii="仿宋" w:hAnsi="仿宋" w:eastAsia="仿宋" w:cs="仿宋"/>
          <w:bCs/>
          <w:sz w:val="32"/>
          <w:szCs w:val="32"/>
        </w:rPr>
        <w:t>优化义乌市场发展空间布局。</w:t>
      </w:r>
    </w:p>
    <w:p>
      <w:pPr>
        <w:pStyle w:val="4"/>
        <w:spacing w:before="0" w:after="0" w:line="240" w:lineRule="auto"/>
        <w:ind w:firstLine="640" w:firstLineChars="200"/>
        <w:rPr>
          <w:rFonts w:ascii="楷体" w:hAnsi="楷体" w:eastAsia="楷体"/>
          <w:b w:val="0"/>
          <w:bCs w:val="0"/>
          <w:color w:val="000000" w:themeColor="text1"/>
        </w:rPr>
      </w:pPr>
      <w:bookmarkStart w:id="54" w:name="_Toc61205018"/>
      <w:r>
        <w:rPr>
          <w:rFonts w:hint="eastAsia" w:ascii="楷体" w:hAnsi="楷体" w:eastAsia="楷体"/>
          <w:b w:val="0"/>
          <w:bCs w:val="0"/>
        </w:rPr>
        <w:t>1</w:t>
      </w:r>
      <w:r>
        <w:rPr>
          <w:rFonts w:ascii="楷体" w:hAnsi="楷体" w:eastAsia="楷体"/>
          <w:b w:val="0"/>
          <w:bCs w:val="0"/>
        </w:rPr>
        <w:t>.</w:t>
      </w:r>
      <w:r>
        <w:rPr>
          <w:rFonts w:hint="eastAsia" w:ascii="楷体" w:hAnsi="楷体" w:eastAsia="楷体"/>
          <w:b w:val="0"/>
          <w:bCs w:val="0"/>
        </w:rPr>
        <w:t>优化内部及周边</w:t>
      </w:r>
      <w:r>
        <w:rPr>
          <w:rFonts w:hint="eastAsia" w:ascii="楷体" w:hAnsi="楷体" w:eastAsia="楷体"/>
          <w:b w:val="0"/>
          <w:bCs w:val="0"/>
          <w:color w:val="000000" w:themeColor="text1"/>
        </w:rPr>
        <w:t>空间配置</w:t>
      </w:r>
      <w:bookmarkEnd w:id="54"/>
    </w:p>
    <w:p>
      <w:pPr>
        <w:ind w:firstLine="643" w:firstLineChars="200"/>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优化市场商位空间。</w:t>
      </w:r>
      <w:r>
        <w:rPr>
          <w:rFonts w:hint="eastAsia" w:ascii="仿宋" w:hAnsi="仿宋" w:eastAsia="仿宋" w:cs="仿宋"/>
          <w:bCs/>
          <w:color w:val="000000" w:themeColor="text1"/>
          <w:sz w:val="32"/>
          <w:szCs w:val="32"/>
        </w:rPr>
        <w:t>用好</w:t>
      </w:r>
      <w:r>
        <w:rPr>
          <w:rFonts w:ascii="仿宋" w:hAnsi="仿宋" w:eastAsia="仿宋" w:cs="Times New Roman"/>
          <w:color w:val="000000" w:themeColor="text1"/>
          <w:sz w:val="32"/>
          <w:szCs w:val="32"/>
        </w:rPr>
        <w:t>市场资源要素改革专项基金</w:t>
      </w:r>
      <w:r>
        <w:rPr>
          <w:rFonts w:hint="eastAsia" w:ascii="仿宋" w:hAnsi="仿宋" w:eastAsia="仿宋" w:cs="Times New Roman"/>
          <w:color w:val="000000" w:themeColor="text1"/>
          <w:sz w:val="32"/>
          <w:szCs w:val="32"/>
        </w:rPr>
        <w:t>，</w:t>
      </w:r>
      <w:r>
        <w:rPr>
          <w:rFonts w:ascii="仿宋" w:hAnsi="仿宋" w:eastAsia="仿宋" w:cs="Times New Roman"/>
          <w:color w:val="000000" w:themeColor="text1"/>
          <w:sz w:val="32"/>
          <w:szCs w:val="32"/>
        </w:rPr>
        <w:t>收回转租或空置的商位使用权</w:t>
      </w:r>
      <w:r>
        <w:rPr>
          <w:rFonts w:hint="eastAsia" w:ascii="仿宋" w:hAnsi="仿宋" w:eastAsia="仿宋" w:cs="Times New Roman"/>
          <w:color w:val="000000" w:themeColor="text1"/>
          <w:sz w:val="32"/>
          <w:szCs w:val="32"/>
        </w:rPr>
        <w:t>，推进商位资源市场化配置。根据行业兴衰更迭，开展成长性行业和萎缩性行业、相邻区块之间的商位资源调剂，实行动态划行归市。</w:t>
      </w:r>
      <w:r>
        <w:rPr>
          <w:rFonts w:hint="eastAsia" w:ascii="仿宋" w:hAnsi="仿宋" w:eastAsia="仿宋" w:cs="仿宋"/>
          <w:color w:val="000000" w:themeColor="text1"/>
          <w:sz w:val="32"/>
          <w:szCs w:val="32"/>
        </w:rPr>
        <w:t>通过</w:t>
      </w:r>
      <w:r>
        <w:rPr>
          <w:rFonts w:ascii="仿宋" w:hAnsi="仿宋" w:eastAsia="仿宋" w:cs="仿宋"/>
          <w:color w:val="000000" w:themeColor="text1"/>
          <w:sz w:val="32"/>
          <w:szCs w:val="32"/>
        </w:rPr>
        <w:t>扶优汰劣</w:t>
      </w:r>
      <w:r>
        <w:rPr>
          <w:rFonts w:hint="eastAsia" w:ascii="仿宋" w:hAnsi="仿宋" w:eastAsia="仿宋" w:cs="仿宋"/>
          <w:color w:val="000000" w:themeColor="text1"/>
          <w:sz w:val="32"/>
          <w:szCs w:val="32"/>
        </w:rPr>
        <w:t>，为优质经营主体提供</w:t>
      </w:r>
      <w:r>
        <w:rPr>
          <w:rFonts w:ascii="仿宋" w:hAnsi="仿宋" w:eastAsia="仿宋" w:cs="Times New Roman"/>
          <w:color w:val="000000" w:themeColor="text1"/>
          <w:sz w:val="32"/>
          <w:szCs w:val="32"/>
        </w:rPr>
        <w:t>“优质配</w:t>
      </w:r>
      <w:r>
        <w:rPr>
          <w:rFonts w:hint="eastAsia" w:ascii="仿宋" w:hAnsi="仿宋" w:eastAsia="仿宋" w:cs="Times New Roman"/>
          <w:color w:val="000000" w:themeColor="text1"/>
          <w:sz w:val="32"/>
          <w:szCs w:val="32"/>
        </w:rPr>
        <w:t>置</w:t>
      </w:r>
      <w:r>
        <w:rPr>
          <w:rFonts w:ascii="仿宋" w:hAnsi="仿宋" w:eastAsia="仿宋" w:cs="Times New Roman"/>
          <w:color w:val="000000" w:themeColor="text1"/>
          <w:sz w:val="32"/>
          <w:szCs w:val="32"/>
        </w:rPr>
        <w:t>”</w:t>
      </w:r>
      <w:r>
        <w:rPr>
          <w:rFonts w:hint="eastAsia" w:ascii="仿宋" w:hAnsi="仿宋" w:eastAsia="仿宋" w:cs="Times New Roman"/>
          <w:color w:val="000000" w:themeColor="text1"/>
          <w:sz w:val="32"/>
          <w:szCs w:val="32"/>
        </w:rPr>
        <w:t>，</w:t>
      </w:r>
      <w:r>
        <w:rPr>
          <w:rFonts w:hint="eastAsia" w:ascii="仿宋" w:hAnsi="仿宋" w:eastAsia="仿宋" w:cs="仿宋"/>
          <w:color w:val="000000" w:themeColor="text1"/>
          <w:sz w:val="32"/>
          <w:szCs w:val="32"/>
        </w:rPr>
        <w:t>为</w:t>
      </w:r>
      <w:r>
        <w:rPr>
          <w:rFonts w:ascii="仿宋" w:hAnsi="仿宋" w:eastAsia="仿宋" w:cs="仿宋"/>
          <w:color w:val="000000" w:themeColor="text1"/>
          <w:sz w:val="32"/>
          <w:szCs w:val="32"/>
        </w:rPr>
        <w:t>引进和培育新行业</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新主体</w:t>
      </w:r>
      <w:r>
        <w:rPr>
          <w:rFonts w:hint="eastAsia" w:ascii="仿宋" w:hAnsi="仿宋" w:eastAsia="仿宋" w:cs="仿宋"/>
          <w:color w:val="000000" w:themeColor="text1"/>
          <w:sz w:val="32"/>
          <w:szCs w:val="32"/>
        </w:rPr>
        <w:t>腾出发展空间，</w:t>
      </w:r>
      <w:r>
        <w:rPr>
          <w:rFonts w:ascii="仿宋" w:hAnsi="仿宋" w:eastAsia="仿宋" w:cs="仿宋"/>
          <w:color w:val="000000" w:themeColor="text1"/>
          <w:sz w:val="32"/>
          <w:szCs w:val="32"/>
        </w:rPr>
        <w:t>有效盘活商位资源</w:t>
      </w:r>
      <w:r>
        <w:rPr>
          <w:rFonts w:hint="eastAsia" w:ascii="仿宋" w:hAnsi="仿宋" w:eastAsia="仿宋" w:cs="仿宋"/>
          <w:color w:val="000000" w:themeColor="text1"/>
          <w:sz w:val="32"/>
          <w:szCs w:val="32"/>
        </w:rPr>
        <w:t>。</w:t>
      </w:r>
    </w:p>
    <w:p>
      <w:pPr>
        <w:ind w:firstLine="643" w:firstLineChars="200"/>
        <w:rPr>
          <w:rFonts w:ascii="仿宋" w:hAnsi="仿宋" w:eastAsia="仿宋" w:cs="仿宋"/>
          <w:sz w:val="32"/>
          <w:szCs w:val="32"/>
        </w:rPr>
      </w:pPr>
      <w:r>
        <w:rPr>
          <w:rFonts w:hint="eastAsia" w:ascii="仿宋" w:hAnsi="仿宋" w:eastAsia="仿宋" w:cs="仿宋"/>
          <w:b/>
          <w:color w:val="000000" w:themeColor="text1"/>
          <w:sz w:val="32"/>
          <w:szCs w:val="32"/>
        </w:rPr>
        <w:t>打造一站式市场生态圈。</w:t>
      </w:r>
      <w:r>
        <w:rPr>
          <w:rFonts w:hint="eastAsia" w:ascii="仿宋" w:hAnsi="仿宋" w:eastAsia="仿宋" w:cs="仿宋"/>
          <w:bCs/>
          <w:color w:val="000000" w:themeColor="text1"/>
          <w:sz w:val="32"/>
          <w:szCs w:val="32"/>
        </w:rPr>
        <w:t>高效利用</w:t>
      </w:r>
      <w:r>
        <w:rPr>
          <w:rFonts w:hint="eastAsia" w:ascii="仿宋" w:hAnsi="仿宋" w:eastAsia="仿宋" w:cs="仿宋"/>
          <w:color w:val="000000" w:themeColor="text1"/>
          <w:sz w:val="32"/>
          <w:szCs w:val="32"/>
        </w:rPr>
        <w:t>市场周边已建和在建布局的仓储基地、物流中心等配套设施，不断完</w:t>
      </w:r>
      <w:r>
        <w:rPr>
          <w:rFonts w:hint="eastAsia" w:ascii="仿宋" w:hAnsi="仿宋" w:eastAsia="仿宋" w:cs="仿宋"/>
          <w:sz w:val="32"/>
          <w:szCs w:val="32"/>
        </w:rPr>
        <w:t>善电商直播、商务洽谈、娱乐休闲、酒店住宿以及餐饮等服务配套空间，打造方便、快捷、舒适的商务环境，进一步提升义乌市场采购体验。</w:t>
      </w:r>
    </w:p>
    <w:p>
      <w:pPr>
        <w:pStyle w:val="4"/>
        <w:spacing w:before="0" w:after="0" w:line="240" w:lineRule="auto"/>
        <w:ind w:firstLine="640" w:firstLineChars="200"/>
        <w:rPr>
          <w:rFonts w:ascii="楷体" w:hAnsi="楷体" w:eastAsia="楷体"/>
          <w:b w:val="0"/>
          <w:bCs w:val="0"/>
        </w:rPr>
      </w:pPr>
      <w:bookmarkStart w:id="55" w:name="_Toc61205019"/>
      <w:r>
        <w:rPr>
          <w:rFonts w:hint="eastAsia" w:ascii="楷体" w:hAnsi="楷体" w:eastAsia="楷体"/>
          <w:b w:val="0"/>
          <w:bCs w:val="0"/>
        </w:rPr>
        <w:t>2</w:t>
      </w:r>
      <w:r>
        <w:rPr>
          <w:rFonts w:ascii="楷体" w:hAnsi="楷体" w:eastAsia="楷体"/>
          <w:b w:val="0"/>
          <w:bCs w:val="0"/>
        </w:rPr>
        <w:t>.</w:t>
      </w:r>
      <w:r>
        <w:rPr>
          <w:rFonts w:hint="eastAsia" w:ascii="楷体" w:hAnsi="楷体" w:eastAsia="楷体"/>
          <w:b w:val="0"/>
          <w:bCs w:val="0"/>
        </w:rPr>
        <w:t>优化存量市场空间布局</w:t>
      </w:r>
      <w:bookmarkEnd w:id="55"/>
    </w:p>
    <w:p>
      <w:pPr>
        <w:ind w:firstLine="643" w:firstLineChars="200"/>
        <w:rPr>
          <w:rFonts w:ascii="仿宋" w:hAnsi="仿宋" w:eastAsia="仿宋" w:cs="仿宋"/>
          <w:sz w:val="32"/>
          <w:szCs w:val="32"/>
        </w:rPr>
      </w:pPr>
      <w:r>
        <w:rPr>
          <w:rFonts w:hint="eastAsia" w:ascii="仿宋" w:hAnsi="仿宋" w:eastAsia="仿宋" w:cs="仿宋"/>
          <w:b/>
          <w:bCs/>
          <w:sz w:val="32"/>
          <w:szCs w:val="32"/>
        </w:rPr>
        <w:t>改造提升存量市场空间。</w:t>
      </w:r>
      <w:r>
        <w:rPr>
          <w:rFonts w:hint="eastAsia" w:ascii="仿宋" w:hAnsi="仿宋" w:eastAsia="仿宋" w:cs="仿宋"/>
          <w:sz w:val="32"/>
          <w:szCs w:val="32"/>
        </w:rPr>
        <w:t>推进全市范围的“划行归市”，引导相同行业全产业链集聚发展，对经营活力不足的板块进行空间压缩或者合并，对计划异地扩建的板块进行空间腾挪，对需要大力发展的板块进行空间预留，培育新业态、引进新主体，推动义乌市场发展空间的合理调整。</w:t>
      </w:r>
    </w:p>
    <w:p>
      <w:pPr>
        <w:ind w:firstLine="643" w:firstLineChars="200"/>
        <w:rPr>
          <w:rFonts w:ascii="仿宋" w:hAnsi="仿宋" w:eastAsia="仿宋" w:cs="仿宋"/>
          <w:sz w:val="32"/>
          <w:szCs w:val="32"/>
        </w:rPr>
      </w:pPr>
      <w:r>
        <w:rPr>
          <w:rFonts w:hint="eastAsia" w:ascii="仿宋" w:hAnsi="仿宋" w:eastAsia="仿宋" w:cs="仿宋"/>
          <w:b/>
          <w:sz w:val="32"/>
          <w:szCs w:val="32"/>
        </w:rPr>
        <w:t>强化“场街联动”发展。</w:t>
      </w:r>
      <w:r>
        <w:rPr>
          <w:rFonts w:hint="eastAsia" w:ascii="仿宋" w:hAnsi="仿宋" w:eastAsia="仿宋" w:cs="仿宋"/>
          <w:sz w:val="32"/>
          <w:szCs w:val="32"/>
        </w:rPr>
        <w:t>发挥专业街的市场孵化作用，加强重点特色专业街板块的统筹规划和布局调整，推动形成专业街与市场错位、互促、共融发展格局。依托商城集团、市场集团的平台优势，在电子商务、规范管理等方面对专业街进行赋能，增强专业街的运营能力。补齐仓储、停车以及导视等方面的配套短板，改善专业街经营环境，构建场内场外联动的大市场，实现“满街是商铺、满地是商品、满城是商人</w:t>
      </w:r>
      <w:r>
        <w:rPr>
          <w:rFonts w:ascii="仿宋" w:hAnsi="仿宋" w:eastAsia="仿宋" w:cs="仿宋"/>
          <w:sz w:val="32"/>
          <w:szCs w:val="32"/>
        </w:rPr>
        <w:t>”</w:t>
      </w:r>
      <w:r>
        <w:rPr>
          <w:rFonts w:hint="eastAsia" w:ascii="仿宋" w:hAnsi="仿宋" w:eastAsia="仿宋" w:cs="仿宋"/>
          <w:sz w:val="32"/>
          <w:szCs w:val="32"/>
        </w:rPr>
        <w:t>的繁荣景象，成为义乌市场新的增长极。</w:t>
      </w:r>
    </w:p>
    <w:p>
      <w:pPr>
        <w:pStyle w:val="4"/>
        <w:spacing w:before="0" w:after="0" w:line="240" w:lineRule="auto"/>
        <w:ind w:firstLine="643" w:firstLineChars="200"/>
        <w:rPr>
          <w:rFonts w:ascii="仿宋" w:hAnsi="仿宋" w:eastAsia="仿宋" w:cs="仿宋"/>
        </w:rPr>
      </w:pPr>
      <w:bookmarkStart w:id="56" w:name="_Toc61205020"/>
      <w:r>
        <w:rPr>
          <w:rFonts w:ascii="楷体" w:hAnsi="楷体" w:eastAsia="楷体"/>
        </w:rPr>
        <w:t>3.</w:t>
      </w:r>
      <w:r>
        <w:rPr>
          <w:rFonts w:hint="eastAsia" w:ascii="楷体" w:hAnsi="楷体" w:eastAsia="楷体"/>
          <w:b w:val="0"/>
          <w:bCs w:val="0"/>
        </w:rPr>
        <w:t>完善新增市场空间布局</w:t>
      </w:r>
      <w:bookmarkEnd w:id="56"/>
    </w:p>
    <w:p>
      <w:pPr>
        <w:ind w:firstLine="643" w:firstLineChars="200"/>
        <w:rPr>
          <w:rFonts w:ascii="楷体" w:hAnsi="楷体" w:eastAsia="楷体" w:cs="仿宋"/>
          <w:sz w:val="32"/>
          <w:szCs w:val="32"/>
        </w:rPr>
      </w:pPr>
      <w:r>
        <w:rPr>
          <w:rFonts w:hint="eastAsia" w:ascii="仿宋" w:hAnsi="仿宋" w:eastAsia="仿宋" w:cs="仿宋"/>
          <w:b/>
          <w:bCs/>
          <w:sz w:val="32"/>
          <w:szCs w:val="32"/>
        </w:rPr>
        <w:t>优化自贸试验区功能区空间布局。</w:t>
      </w:r>
      <w:r>
        <w:rPr>
          <w:rFonts w:hint="eastAsia" w:ascii="仿宋" w:hAnsi="仿宋" w:eastAsia="仿宋"/>
          <w:sz w:val="32"/>
          <w:szCs w:val="32"/>
        </w:rPr>
        <w:t>围绕自贸试验区实施范围和联动区域的空间规划，</w:t>
      </w:r>
      <w:r>
        <w:rPr>
          <w:rFonts w:hint="eastAsia" w:ascii="仿宋" w:hAnsi="仿宋" w:eastAsia="仿宋" w:cs="仿宋"/>
          <w:sz w:val="32"/>
          <w:szCs w:val="32"/>
        </w:rPr>
        <w:t>加快打造以出口功能为主的商城区块和以进口转口功能为主的陆港区块，形成两个区块协调发展的新格局。</w:t>
      </w:r>
    </w:p>
    <w:p>
      <w:pPr>
        <w:ind w:firstLine="643" w:firstLineChars="200"/>
        <w:rPr>
          <w:rFonts w:ascii="仿宋" w:hAnsi="仿宋" w:eastAsia="仿宋" w:cs="仿宋"/>
          <w:bCs/>
          <w:sz w:val="32"/>
          <w:szCs w:val="32"/>
        </w:rPr>
      </w:pPr>
      <w:r>
        <w:rPr>
          <w:rFonts w:hint="eastAsia" w:ascii="仿宋" w:hAnsi="仿宋" w:eastAsia="仿宋" w:cs="仿宋"/>
          <w:b/>
          <w:bCs/>
          <w:sz w:val="32"/>
          <w:szCs w:val="32"/>
        </w:rPr>
        <w:t>完善民生市场空间布局。</w:t>
      </w:r>
      <w:r>
        <w:rPr>
          <w:rFonts w:hint="eastAsia" w:ascii="仿宋" w:hAnsi="仿宋" w:eastAsia="仿宋"/>
          <w:sz w:val="32"/>
          <w:szCs w:val="32"/>
        </w:rPr>
        <w:t>聚焦300万人口现代化都市框架，全面优化提升民</w:t>
      </w:r>
      <w:r>
        <w:rPr>
          <w:rFonts w:hint="eastAsia" w:ascii="仿宋" w:hAnsi="仿宋" w:eastAsia="仿宋"/>
          <w:color w:val="000000" w:themeColor="text1"/>
          <w:sz w:val="32"/>
          <w:szCs w:val="32"/>
        </w:rPr>
        <w:t>生类市场的空间布局和基础设施，</w:t>
      </w:r>
      <w:r>
        <w:rPr>
          <w:rFonts w:hint="eastAsia" w:ascii="仿宋" w:hAnsi="仿宋" w:eastAsia="仿宋" w:cs="仿宋"/>
          <w:color w:val="000000" w:themeColor="text1"/>
          <w:sz w:val="32"/>
          <w:szCs w:val="32"/>
        </w:rPr>
        <w:t>加快推进前景好、潜力大的民生类市场板块改扩建，并与前期项目形成发展合力，打造一站式采购基地，</w:t>
      </w:r>
      <w:r>
        <w:rPr>
          <w:rFonts w:hint="eastAsia" w:ascii="仿宋" w:hAnsi="仿宋" w:eastAsia="仿宋" w:cs="仿宋"/>
          <w:sz w:val="32"/>
          <w:szCs w:val="32"/>
        </w:rPr>
        <w:t>实现全链路发展平台，即满足义乌本地及未来消费需求，</w:t>
      </w:r>
      <w:r>
        <w:rPr>
          <w:rFonts w:hint="eastAsia" w:ascii="仿宋" w:hAnsi="仿宋" w:eastAsia="仿宋" w:cs="仿宋"/>
          <w:bCs/>
          <w:sz w:val="32"/>
          <w:szCs w:val="32"/>
        </w:rPr>
        <w:t>又担负起在重大公共安全事件面前的应急保障责任。</w:t>
      </w:r>
    </w:p>
    <w:p>
      <w:pPr>
        <w:ind w:firstLine="640" w:firstLineChars="200"/>
        <w:rPr>
          <w:rFonts w:ascii="仿宋" w:hAnsi="仿宋" w:eastAsia="仿宋" w:cs="仿宋"/>
          <w:sz w:val="32"/>
          <w:szCs w:val="32"/>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96" w:type="dxa"/>
            <w:shd w:val="clear" w:color="auto" w:fill="auto"/>
            <w:vAlign w:val="center"/>
          </w:tcPr>
          <w:p>
            <w:pPr>
              <w:jc w:val="center"/>
              <w:rPr>
                <w:rFonts w:ascii="楷体" w:hAnsi="楷体" w:eastAsia="楷体" w:cs="楷体"/>
                <w:b/>
                <w:bCs/>
                <w:sz w:val="28"/>
                <w:szCs w:val="28"/>
              </w:rPr>
            </w:pPr>
            <w:r>
              <w:rPr>
                <w:rFonts w:hint="eastAsia" w:ascii="楷体" w:hAnsi="楷体" w:eastAsia="楷体" w:cs="楷体"/>
                <w:b/>
                <w:bCs/>
                <w:sz w:val="28"/>
                <w:szCs w:val="28"/>
              </w:rPr>
              <w:t>专栏：新建市场重点项目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1</w:t>
            </w:r>
            <w:r>
              <w:rPr>
                <w:rFonts w:hint="eastAsia" w:ascii="楷体" w:hAnsi="楷体" w:eastAsia="楷体" w:cs="楷体"/>
                <w:b/>
                <w:bCs/>
                <w:sz w:val="24"/>
                <w:szCs w:val="28"/>
              </w:rPr>
              <w:t>.</w:t>
            </w:r>
            <w:r>
              <w:rPr>
                <w:rFonts w:ascii="楷体" w:hAnsi="楷体" w:eastAsia="楷体" w:cs="楷体"/>
                <w:b/>
                <w:bCs/>
                <w:sz w:val="24"/>
                <w:szCs w:val="28"/>
              </w:rPr>
              <w:t>新型进口市场。</w:t>
            </w:r>
            <w:r>
              <w:rPr>
                <w:rFonts w:hint="eastAsia" w:ascii="楷体" w:hAnsi="楷体" w:eastAsia="楷体" w:cs="楷体"/>
                <w:bCs/>
                <w:sz w:val="24"/>
                <w:szCs w:val="28"/>
              </w:rPr>
              <w:t>项目位于</w:t>
            </w:r>
            <w:r>
              <w:rPr>
                <w:rFonts w:hint="eastAsia" w:ascii="楷体" w:hAnsi="楷体" w:eastAsia="楷体" w:cs="楷体"/>
                <w:bCs/>
                <w:color w:val="000000" w:themeColor="text1"/>
                <w:sz w:val="24"/>
                <w:szCs w:val="28"/>
              </w:rPr>
              <w:t>义乌综合保税区内，占地</w:t>
            </w:r>
            <w:r>
              <w:rPr>
                <w:rFonts w:ascii="楷体" w:hAnsi="楷体" w:eastAsia="楷体" w:cs="楷体"/>
                <w:bCs/>
                <w:color w:val="000000" w:themeColor="text1"/>
                <w:sz w:val="24"/>
                <w:szCs w:val="28"/>
              </w:rPr>
              <w:t>287</w:t>
            </w:r>
            <w:r>
              <w:rPr>
                <w:rFonts w:hint="eastAsia" w:ascii="楷体" w:hAnsi="楷体" w:eastAsia="楷体" w:cs="楷体"/>
                <w:bCs/>
                <w:color w:val="000000" w:themeColor="text1"/>
                <w:sz w:val="24"/>
                <w:szCs w:val="28"/>
              </w:rPr>
              <w:t>亩，建筑面积4</w:t>
            </w:r>
            <w:r>
              <w:rPr>
                <w:rFonts w:ascii="楷体" w:hAnsi="楷体" w:eastAsia="楷体" w:cs="楷体"/>
                <w:bCs/>
                <w:color w:val="000000" w:themeColor="text1"/>
                <w:sz w:val="24"/>
                <w:szCs w:val="28"/>
              </w:rPr>
              <w:t>0</w:t>
            </w:r>
            <w:r>
              <w:rPr>
                <w:rFonts w:hint="eastAsia" w:ascii="楷体" w:hAnsi="楷体" w:eastAsia="楷体" w:cs="楷体"/>
                <w:bCs/>
                <w:color w:val="000000" w:themeColor="text1"/>
                <w:sz w:val="24"/>
                <w:szCs w:val="28"/>
              </w:rPr>
              <w:t>万平方米，打</w:t>
            </w:r>
            <w:r>
              <w:rPr>
                <w:rFonts w:ascii="楷体" w:hAnsi="楷体" w:eastAsia="楷体" w:cs="楷体"/>
                <w:bCs/>
                <w:color w:val="000000" w:themeColor="text1"/>
                <w:sz w:val="24"/>
                <w:szCs w:val="28"/>
              </w:rPr>
              <w:t>造以eWTP数字贸易、“境内关外”监管、“保税+”业态模式、供应链全链路为显著特征的千亿级进口日</w:t>
            </w:r>
            <w:r>
              <w:rPr>
                <w:rFonts w:ascii="楷体" w:hAnsi="楷体" w:eastAsia="楷体" w:cs="楷体"/>
                <w:bCs/>
                <w:sz w:val="24"/>
                <w:szCs w:val="28"/>
              </w:rPr>
              <w:t>用消费品展贸平台。</w:t>
            </w:r>
          </w:p>
          <w:p>
            <w:pPr>
              <w:pStyle w:val="6"/>
              <w:spacing w:line="360" w:lineRule="auto"/>
              <w:ind w:left="0" w:leftChars="0" w:firstLine="560"/>
              <w:rPr>
                <w:rFonts w:ascii="楷体" w:hAnsi="楷体" w:eastAsia="楷体" w:cs="楷体"/>
                <w:bCs/>
                <w:sz w:val="24"/>
                <w:szCs w:val="28"/>
              </w:rPr>
            </w:pPr>
            <w:r>
              <w:rPr>
                <w:rFonts w:hint="eastAsia" w:ascii="楷体" w:hAnsi="楷体" w:eastAsia="楷体" w:cs="楷体"/>
                <w:b/>
                <w:bCs/>
                <w:sz w:val="24"/>
                <w:szCs w:val="28"/>
              </w:rPr>
              <w:t>2.义乌全球数字自贸中心。</w:t>
            </w:r>
            <w:r>
              <w:rPr>
                <w:rFonts w:hint="eastAsia" w:ascii="楷体" w:hAnsi="楷体" w:eastAsia="楷体" w:cs="楷体"/>
                <w:bCs/>
                <w:sz w:val="24"/>
                <w:szCs w:val="28"/>
              </w:rPr>
              <w:t>位于国际商贸城五区东，项目总用地约587亩，总建筑面积约132万平方米。</w:t>
            </w:r>
            <w:r>
              <w:rPr>
                <w:rFonts w:ascii="楷体" w:hAnsi="楷体" w:eastAsia="楷体" w:cs="楷体"/>
                <w:bCs/>
                <w:sz w:val="24"/>
                <w:szCs w:val="28"/>
              </w:rPr>
              <w:t>集聚研发设计、品牌孵化、打样定制、时尚智造、展示贸易、网红直播、新销售展示、贸易服务、办公生活等功能业态</w:t>
            </w:r>
            <w:r>
              <w:rPr>
                <w:rFonts w:hint="eastAsia" w:ascii="楷体" w:hAnsi="楷体" w:eastAsia="楷体" w:cs="楷体"/>
                <w:bCs/>
                <w:sz w:val="24"/>
                <w:szCs w:val="28"/>
              </w:rPr>
              <w:t>，打造</w:t>
            </w:r>
            <w:r>
              <w:rPr>
                <w:rFonts w:ascii="楷体" w:hAnsi="楷体" w:eastAsia="楷体" w:cs="楷体"/>
                <w:bCs/>
                <w:sz w:val="24"/>
                <w:szCs w:val="28"/>
              </w:rPr>
              <w:t>科工贸一体的“未来市场”</w:t>
            </w:r>
            <w:r>
              <w:rPr>
                <w:rFonts w:hint="eastAsia" w:ascii="楷体" w:hAnsi="楷体" w:eastAsia="楷体" w:cs="楷体"/>
                <w:bCs/>
                <w:sz w:val="24"/>
                <w:szCs w:val="28"/>
              </w:rPr>
              <w:t>。</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3</w:t>
            </w:r>
            <w:r>
              <w:rPr>
                <w:rFonts w:hint="eastAsia" w:ascii="楷体" w:hAnsi="楷体" w:eastAsia="楷体" w:cs="楷体"/>
                <w:b/>
                <w:bCs/>
                <w:sz w:val="24"/>
                <w:szCs w:val="28"/>
              </w:rPr>
              <w:t>.义乌国际商贸城二区东综合楼。</w:t>
            </w:r>
            <w:r>
              <w:rPr>
                <w:rFonts w:hint="eastAsia" w:ascii="楷体" w:hAnsi="楷体" w:eastAsia="楷体" w:cs="楷体"/>
                <w:bCs/>
                <w:sz w:val="24"/>
                <w:szCs w:val="28"/>
              </w:rPr>
              <w:t>总用地面积40511平方米（60.77亩），规划建设一幢五层综合停车楼，总建筑面积约13.22万平方米，其中地下二层为汽车库，地上共五层，1-2层为市场商业，3楼及以上（包括屋顶）为汽车库。</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4</w:t>
            </w:r>
            <w:r>
              <w:rPr>
                <w:rFonts w:hint="eastAsia" w:ascii="楷体" w:hAnsi="楷体" w:eastAsia="楷体" w:cs="楷体"/>
                <w:b/>
                <w:bCs/>
                <w:sz w:val="24"/>
                <w:szCs w:val="28"/>
              </w:rPr>
              <w:t>.</w:t>
            </w:r>
            <w:r>
              <w:rPr>
                <w:rFonts w:ascii="楷体" w:hAnsi="楷体" w:eastAsia="楷体" w:cs="楷体"/>
                <w:b/>
                <w:bCs/>
                <w:sz w:val="24"/>
                <w:szCs w:val="28"/>
              </w:rPr>
              <w:t>义乌国际家居城（四期）</w:t>
            </w:r>
            <w:r>
              <w:rPr>
                <w:rFonts w:hint="eastAsia" w:ascii="楷体" w:hAnsi="楷体" w:eastAsia="楷体" w:cs="楷体"/>
                <w:b/>
                <w:bCs/>
                <w:sz w:val="24"/>
                <w:szCs w:val="28"/>
              </w:rPr>
              <w:t>。</w:t>
            </w:r>
            <w:r>
              <w:rPr>
                <w:rFonts w:hint="eastAsia" w:ascii="楷体" w:hAnsi="楷体" w:eastAsia="楷体" w:cs="楷体"/>
                <w:bCs/>
                <w:sz w:val="24"/>
                <w:szCs w:val="28"/>
              </w:rPr>
              <w:t>采用“新建+改建”建设模式，分为A区块和B区块，占地面积124亩。与国际家居城一、二、三区现有行业集成，形成发展合力，搭建资源共享平台，实现家居行业一站式采购。满足义乌本地居民消费，同时辐射金华地区其他县市。</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5</w:t>
            </w:r>
            <w:r>
              <w:rPr>
                <w:rFonts w:hint="eastAsia" w:ascii="楷体" w:hAnsi="楷体" w:eastAsia="楷体" w:cs="楷体"/>
                <w:b/>
                <w:bCs/>
                <w:sz w:val="24"/>
                <w:szCs w:val="28"/>
              </w:rPr>
              <w:t>.</w:t>
            </w:r>
            <w:r>
              <w:rPr>
                <w:rFonts w:ascii="楷体" w:hAnsi="楷体" w:eastAsia="楷体" w:cs="楷体"/>
                <w:b/>
                <w:bCs/>
                <w:sz w:val="24"/>
                <w:szCs w:val="28"/>
              </w:rPr>
              <w:t>义乌模具城</w:t>
            </w:r>
            <w:r>
              <w:rPr>
                <w:rFonts w:hint="eastAsia" w:ascii="楷体" w:hAnsi="楷体" w:eastAsia="楷体" w:cs="楷体"/>
                <w:b/>
                <w:bCs/>
                <w:sz w:val="24"/>
                <w:szCs w:val="28"/>
              </w:rPr>
              <w:t>（三期）。</w:t>
            </w:r>
            <w:r>
              <w:rPr>
                <w:rFonts w:hint="eastAsia" w:ascii="楷体" w:hAnsi="楷体" w:eastAsia="楷体" w:cs="楷体"/>
                <w:bCs/>
                <w:sz w:val="24"/>
                <w:szCs w:val="28"/>
              </w:rPr>
              <w:t>采用“新建+改建”建设模式，分为A区块、B区块和C区块，占地面积141亩。充分发挥“场街融合”发展模式，打造模具交易、生产、制造、设计等全链路发展平台，打造华东地区规模最大、配套最齐全、功能最完善的模具产业基地之一。</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6</w:t>
            </w:r>
            <w:r>
              <w:rPr>
                <w:rFonts w:hint="eastAsia" w:ascii="楷体" w:hAnsi="楷体" w:eastAsia="楷体" w:cs="楷体"/>
                <w:b/>
                <w:bCs/>
                <w:sz w:val="24"/>
                <w:szCs w:val="28"/>
              </w:rPr>
              <w:t>.义乌农产品交易中心（</w:t>
            </w:r>
            <w:r>
              <w:rPr>
                <w:rFonts w:ascii="楷体" w:hAnsi="楷体" w:eastAsia="楷体" w:cs="楷体"/>
                <w:b/>
                <w:bCs/>
                <w:sz w:val="24"/>
                <w:szCs w:val="28"/>
              </w:rPr>
              <w:t>浙中农副产品物流中心</w:t>
            </w:r>
            <w:r>
              <w:rPr>
                <w:rFonts w:hint="eastAsia" w:ascii="楷体" w:hAnsi="楷体" w:eastAsia="楷体" w:cs="楷体"/>
                <w:b/>
                <w:bCs/>
                <w:sz w:val="24"/>
                <w:szCs w:val="28"/>
              </w:rPr>
              <w:t>迁建）。</w:t>
            </w:r>
            <w:r>
              <w:rPr>
                <w:rFonts w:hint="eastAsia" w:ascii="楷体" w:hAnsi="楷体" w:eastAsia="楷体" w:cs="楷体"/>
                <w:bCs/>
                <w:sz w:val="24"/>
                <w:szCs w:val="28"/>
              </w:rPr>
              <w:t>采用“新建+迁建”建设模式，分为A区块和B区块，占地面积338亩，位于义亭镇规划路以北、东黄线（改线）以南、镇前街以西、中心粮库以东。A区块为迁建项目，占地170亩，布局蔬菜水产交易区（由现浙中农副产品物流中心迁建）。构建完整的“市场+冷链”闭环，满足“十四五”末义乌300万常住人口的农产品消费需求，同时辐射浙中南地区及周边部分省份。</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7</w:t>
            </w:r>
            <w:r>
              <w:rPr>
                <w:rFonts w:hint="eastAsia" w:ascii="楷体" w:hAnsi="楷体" w:eastAsia="楷体" w:cs="楷体"/>
                <w:b/>
                <w:bCs/>
                <w:sz w:val="24"/>
                <w:szCs w:val="28"/>
              </w:rPr>
              <w:t>.义乌市建材交易中心。</w:t>
            </w:r>
            <w:r>
              <w:rPr>
                <w:rFonts w:hint="eastAsia" w:ascii="楷体" w:hAnsi="楷体" w:eastAsia="楷体" w:cs="楷体"/>
                <w:bCs/>
                <w:sz w:val="24"/>
                <w:szCs w:val="28"/>
              </w:rPr>
              <w:t>采用“改建”建设模式，位于佛堂镇上佛路与五洲大道交叉地块（现浙中农副产品物流中心地块），占地面积200亩，布局建材交易区（约120亩）、木材交易区（约40亩）、石材加工区（约20亩）以及配套区（约20亩）。项目由市场集团投资改造，概算投资2亿元。为国际家居城提供建材交易、木材交易、石材加工等辅助配套服务，串联发展家居行业，满足义乌本地消费。</w:t>
            </w:r>
          </w:p>
        </w:tc>
      </w:tr>
    </w:tbl>
    <w:p>
      <w:pPr>
        <w:ind w:firstLine="643" w:firstLineChars="200"/>
        <w:rPr>
          <w:rFonts w:ascii="仿宋" w:hAnsi="仿宋" w:eastAsia="仿宋"/>
          <w:b/>
          <w:bCs/>
          <w:sz w:val="32"/>
          <w:szCs w:val="32"/>
        </w:rPr>
      </w:pPr>
    </w:p>
    <w:p>
      <w:pPr>
        <w:pStyle w:val="3"/>
        <w:spacing w:before="120" w:after="120" w:line="560" w:lineRule="exact"/>
        <w:ind w:firstLine="643" w:firstLineChars="200"/>
        <w:rPr>
          <w:rFonts w:ascii="楷体_GB2312" w:eastAsia="楷体_GB2312"/>
          <w:bCs w:val="0"/>
          <w:kern w:val="0"/>
          <w:szCs w:val="20"/>
        </w:rPr>
      </w:pPr>
      <w:bookmarkStart w:id="57" w:name="_Toc61205021"/>
      <w:r>
        <w:rPr>
          <w:rFonts w:hint="eastAsia" w:ascii="楷体_GB2312" w:eastAsia="楷体_GB2312"/>
          <w:bCs w:val="0"/>
          <w:kern w:val="0"/>
          <w:szCs w:val="20"/>
        </w:rPr>
        <w:t>（三）融入国内大循环，推动内贸市场升级</w:t>
      </w:r>
      <w:bookmarkEnd w:id="57"/>
    </w:p>
    <w:p>
      <w:pPr>
        <w:ind w:firstLine="640" w:firstLineChars="200"/>
        <w:rPr>
          <w:rFonts w:ascii="仿宋" w:hAnsi="仿宋" w:eastAsia="仿宋" w:cs="仿宋"/>
          <w:sz w:val="32"/>
          <w:szCs w:val="32"/>
        </w:rPr>
      </w:pPr>
      <w:r>
        <w:rPr>
          <w:rFonts w:hint="eastAsia" w:ascii="仿宋" w:hAnsi="仿宋" w:eastAsia="仿宋" w:cs="仿宋_GB2312"/>
          <w:sz w:val="32"/>
          <w:szCs w:val="32"/>
        </w:rPr>
        <w:t>顺应内贸市场区域化、交易线上化、订单碎片化、渠道扁平化和市场物流园区化</w:t>
      </w:r>
      <w:r>
        <w:rPr>
          <w:rFonts w:hint="eastAsia" w:ascii="仿宋" w:hAnsi="仿宋" w:eastAsia="仿宋"/>
          <w:sz w:val="32"/>
          <w:szCs w:val="32"/>
        </w:rPr>
        <w:t>的</w:t>
      </w:r>
      <w:r>
        <w:rPr>
          <w:rFonts w:hint="eastAsia" w:ascii="仿宋" w:hAnsi="仿宋" w:eastAsia="仿宋" w:cs="仿宋_GB2312"/>
          <w:sz w:val="32"/>
          <w:szCs w:val="32"/>
        </w:rPr>
        <w:t>发展趋势，</w:t>
      </w:r>
      <w:r>
        <w:rPr>
          <w:rFonts w:hint="eastAsia" w:ascii="仿宋" w:hAnsi="仿宋" w:eastAsia="仿宋" w:cs="仿宋"/>
          <w:sz w:val="32"/>
          <w:szCs w:val="32"/>
        </w:rPr>
        <w:t>抢抓“</w:t>
      </w:r>
      <w:r>
        <w:rPr>
          <w:rFonts w:hint="eastAsia" w:ascii="仿宋" w:hAnsi="仿宋" w:eastAsia="仿宋"/>
          <w:sz w:val="32"/>
          <w:szCs w:val="32"/>
        </w:rPr>
        <w:t>双循环</w:t>
      </w:r>
      <w:r>
        <w:rPr>
          <w:rFonts w:hint="eastAsia" w:ascii="仿宋" w:hAnsi="仿宋" w:eastAsia="仿宋" w:cs="仿宋"/>
          <w:sz w:val="32"/>
          <w:szCs w:val="32"/>
        </w:rPr>
        <w:t>”新发展格局的时代机遇，把握自由贸易试验区的政策机遇，依托义乌商品聚集、物流高地、电商发达、展场融合等市场综合优势，强力推进“拓内贸”战略，打造小商品市场内贸新标杆。</w:t>
      </w:r>
    </w:p>
    <w:p>
      <w:pPr>
        <w:pStyle w:val="4"/>
        <w:spacing w:before="0" w:after="0" w:line="240" w:lineRule="auto"/>
        <w:ind w:firstLine="640" w:firstLineChars="200"/>
        <w:rPr>
          <w:rFonts w:ascii="楷体" w:hAnsi="楷体" w:eastAsia="楷体"/>
          <w:b w:val="0"/>
          <w:bCs w:val="0"/>
        </w:rPr>
      </w:pPr>
      <w:bookmarkStart w:id="58" w:name="_Toc61205022"/>
      <w:r>
        <w:rPr>
          <w:rFonts w:hint="eastAsia" w:ascii="楷体" w:hAnsi="楷体" w:eastAsia="楷体"/>
          <w:b w:val="0"/>
          <w:bCs w:val="0"/>
        </w:rPr>
        <w:t>1.优化内贸市场网络布局</w:t>
      </w:r>
      <w:bookmarkEnd w:id="58"/>
    </w:p>
    <w:p>
      <w:pPr>
        <w:ind w:firstLine="643" w:firstLineChars="200"/>
        <w:rPr>
          <w:rFonts w:ascii="仿宋" w:hAnsi="仿宋" w:eastAsia="仿宋_GB2312" w:cs="仿宋"/>
          <w:sz w:val="32"/>
          <w:szCs w:val="32"/>
        </w:rPr>
      </w:pPr>
      <w:r>
        <w:rPr>
          <w:rFonts w:hint="eastAsia" w:ascii="仿宋" w:hAnsi="仿宋" w:eastAsia="仿宋" w:cs="仿宋"/>
          <w:b/>
          <w:bCs/>
          <w:sz w:val="32"/>
          <w:szCs w:val="32"/>
        </w:rPr>
        <w:t>健全</w:t>
      </w:r>
      <w:r>
        <w:rPr>
          <w:rFonts w:ascii="仿宋" w:hAnsi="仿宋" w:eastAsia="仿宋" w:cs="仿宋"/>
          <w:b/>
          <w:bCs/>
          <w:sz w:val="32"/>
          <w:szCs w:val="32"/>
        </w:rPr>
        <w:t>义乌</w:t>
      </w:r>
      <w:r>
        <w:rPr>
          <w:rFonts w:hint="eastAsia" w:ascii="仿宋" w:hAnsi="仿宋" w:eastAsia="仿宋" w:cs="仿宋"/>
          <w:b/>
          <w:bCs/>
          <w:sz w:val="32"/>
          <w:szCs w:val="32"/>
        </w:rPr>
        <w:t>内贸</w:t>
      </w:r>
      <w:r>
        <w:rPr>
          <w:rFonts w:ascii="仿宋" w:hAnsi="仿宋" w:eastAsia="仿宋" w:cs="仿宋"/>
          <w:b/>
          <w:bCs/>
          <w:sz w:val="32"/>
          <w:szCs w:val="32"/>
        </w:rPr>
        <w:t>市场网络。</w:t>
      </w:r>
      <w:r>
        <w:rPr>
          <w:rFonts w:hint="eastAsia" w:ascii="仿宋" w:hAnsi="仿宋" w:eastAsia="仿宋" w:cs="仿宋"/>
          <w:sz w:val="32"/>
          <w:szCs w:val="32"/>
        </w:rPr>
        <w:t>充分发挥义乌小商品市场全球最大和与全国其他地区产业集群联系紧密的传统优势，</w:t>
      </w:r>
      <w:r>
        <w:rPr>
          <w:rFonts w:hint="eastAsia" w:ascii="仿宋" w:hAnsi="仿宋" w:eastAsia="仿宋"/>
          <w:sz w:val="32"/>
          <w:szCs w:val="32"/>
        </w:rPr>
        <w:t>加快推进中国小商品城与国内二级批发市场深度合作，</w:t>
      </w:r>
      <w:r>
        <w:rPr>
          <w:rFonts w:hint="eastAsia" w:ascii="仿宋" w:hAnsi="仿宋" w:eastAsia="仿宋" w:cs="仿宋"/>
          <w:sz w:val="32"/>
          <w:szCs w:val="32"/>
        </w:rPr>
        <w:t>加速构建“义乌市场主导、下游市场承接、各方互利共生”</w:t>
      </w:r>
      <w:r>
        <w:rPr>
          <w:rFonts w:hint="eastAsia" w:ascii="仿宋" w:hAnsi="仿宋" w:eastAsia="仿宋"/>
          <w:sz w:val="32"/>
          <w:szCs w:val="32"/>
        </w:rPr>
        <w:t>的义乌</w:t>
      </w:r>
      <w:r>
        <w:rPr>
          <w:rFonts w:hint="eastAsia" w:ascii="仿宋" w:hAnsi="仿宋" w:eastAsia="仿宋" w:cs="仿宋"/>
          <w:sz w:val="32"/>
          <w:szCs w:val="32"/>
        </w:rPr>
        <w:t>市场体系。聚焦“货、店、</w:t>
      </w:r>
      <w:r>
        <w:rPr>
          <w:rFonts w:hint="eastAsia" w:ascii="仿宋" w:hAnsi="仿宋" w:eastAsia="仿宋"/>
          <w:sz w:val="32"/>
          <w:szCs w:val="32"/>
        </w:rPr>
        <w:t>仓、商”等节点，加强国内市场联盟建设，新增市场联盟成员10家以上；实施“城市经理人”计划，链接国内终端门店6万家以上；着力打造义乌市场全国布局、义乌</w:t>
      </w:r>
      <w:r>
        <w:rPr>
          <w:rFonts w:hint="eastAsia" w:ascii="仿宋" w:hAnsi="仿宋" w:eastAsia="仿宋" w:cs="仿宋"/>
          <w:sz w:val="32"/>
          <w:szCs w:val="32"/>
        </w:rPr>
        <w:t>商人遍布全国、义乌商品全国布货的义乌市场网络。</w:t>
      </w:r>
    </w:p>
    <w:p>
      <w:pPr>
        <w:ind w:firstLine="643" w:firstLineChars="200"/>
        <w:rPr>
          <w:rFonts w:ascii="仿宋" w:hAnsi="仿宋" w:eastAsia="仿宋" w:cs="仿宋"/>
          <w:sz w:val="32"/>
          <w:szCs w:val="32"/>
        </w:rPr>
      </w:pPr>
      <w:r>
        <w:rPr>
          <w:rFonts w:hint="eastAsia" w:ascii="仿宋" w:hAnsi="仿宋" w:eastAsia="仿宋" w:cs="仿宋"/>
          <w:b/>
          <w:bCs/>
          <w:sz w:val="32"/>
          <w:szCs w:val="32"/>
        </w:rPr>
        <w:t>加快建设内贸未来市场。</w:t>
      </w:r>
      <w:r>
        <w:rPr>
          <w:rFonts w:hint="eastAsia" w:ascii="仿宋" w:hAnsi="仿宋" w:eastAsia="仿宋" w:cs="仿宋"/>
          <w:sz w:val="32"/>
          <w:szCs w:val="32"/>
        </w:rPr>
        <w:t>聚焦市场管理、服务和业务创新，健全市场创新基础及激励体系，厚植市场创新土壤，加快形成多元化创新投入体系，促进市场迭代赋能，更好地服务国内大循环。实施市场创新培育计划，多措并举吸引年轻人来义乌创新创业。积极培育市场内优势产业协同创新平台。强化市场知识产权保护，完善市场创新成果转化、激励机制，大力培育集聚创意设计产业，设立全球小商品研发设计中心，加快构建创新创意对接平台，打造小商品创新“梦工厂”。积极打造集研发设计、品牌孵化、打样定制、网红直播、新销售展示、贸易服务等功能为一体的智慧商贸社区，创新内贸全产业链发展模式，形成全球小商品创新高地，加快建设未来市场。</w:t>
      </w:r>
    </w:p>
    <w:p>
      <w:pPr>
        <w:pStyle w:val="4"/>
        <w:spacing w:before="0" w:after="0" w:line="240" w:lineRule="auto"/>
        <w:ind w:firstLine="640" w:firstLineChars="200"/>
        <w:rPr>
          <w:rFonts w:ascii="楷体" w:hAnsi="楷体" w:eastAsia="楷体"/>
          <w:b w:val="0"/>
          <w:bCs w:val="0"/>
        </w:rPr>
      </w:pPr>
      <w:bookmarkStart w:id="59" w:name="_Toc61205023"/>
      <w:r>
        <w:rPr>
          <w:rFonts w:ascii="楷体" w:hAnsi="楷体" w:eastAsia="楷体"/>
          <w:b w:val="0"/>
          <w:bCs w:val="0"/>
        </w:rPr>
        <w:t>2</w:t>
      </w:r>
      <w:r>
        <w:rPr>
          <w:rFonts w:hint="eastAsia" w:ascii="楷体" w:hAnsi="楷体" w:eastAsia="楷体"/>
          <w:b w:val="0"/>
          <w:bCs w:val="0"/>
        </w:rPr>
        <w:t>.推动内贸市场融合发展</w:t>
      </w:r>
      <w:bookmarkEnd w:id="59"/>
    </w:p>
    <w:p>
      <w:pPr>
        <w:ind w:firstLine="643" w:firstLineChars="200"/>
        <w:rPr>
          <w:rFonts w:ascii="仿宋" w:hAnsi="仿宋" w:eastAsia="仿宋" w:cs="仿宋"/>
          <w:sz w:val="32"/>
          <w:szCs w:val="32"/>
        </w:rPr>
      </w:pPr>
      <w:r>
        <w:rPr>
          <w:rFonts w:hint="eastAsia" w:ascii="仿宋" w:hAnsi="仿宋" w:eastAsia="仿宋" w:cs="仿宋"/>
          <w:b/>
          <w:bCs/>
          <w:sz w:val="32"/>
          <w:szCs w:val="32"/>
        </w:rPr>
        <w:t>推进市场全渠道融合发展。</w:t>
      </w:r>
      <w:r>
        <w:rPr>
          <w:rFonts w:hint="eastAsia" w:ascii="仿宋" w:hAnsi="仿宋" w:eastAsia="仿宋" w:cs="仿宋"/>
          <w:sz w:val="32"/>
          <w:szCs w:val="32"/>
        </w:rPr>
        <w:t>依托义乌实体市场在在供应链、用户体验上的优势和线上的流量、大数据优势，</w:t>
      </w:r>
      <w:r>
        <w:rPr>
          <w:rFonts w:ascii="Times New Roman" w:hAnsi="Times New Roman" w:eastAsia="仿宋_GB2312" w:cs="Times New Roman"/>
          <w:sz w:val="32"/>
          <w:szCs w:val="32"/>
        </w:rPr>
        <w:t>整合线上线下资源</w:t>
      </w:r>
      <w:r>
        <w:rPr>
          <w:rFonts w:hint="eastAsia" w:ascii="Times New Roman" w:hAnsi="Times New Roman" w:eastAsia="仿宋_GB2312" w:cs="Times New Roman"/>
          <w:sz w:val="32"/>
          <w:szCs w:val="32"/>
        </w:rPr>
        <w:t>、优化产品供应链，</w:t>
      </w:r>
      <w:r>
        <w:rPr>
          <w:rFonts w:hint="eastAsia" w:ascii="仿宋" w:hAnsi="仿宋" w:eastAsia="仿宋" w:cs="仿宋"/>
          <w:sz w:val="32"/>
          <w:szCs w:val="32"/>
        </w:rPr>
        <w:t>积极打造适应新型经营主体微信营销、网红经济、短视频营销、社交电商等的新型营销融合平台，推进市场全渠道融合发展，形成链接“电商、直播、门店”的全渠道供应链直采中心。</w:t>
      </w:r>
    </w:p>
    <w:p>
      <w:pPr>
        <w:ind w:firstLine="643" w:firstLineChars="200"/>
        <w:rPr>
          <w:rFonts w:ascii="仿宋" w:hAnsi="仿宋" w:eastAsia="仿宋" w:cs="仿宋"/>
          <w:sz w:val="32"/>
          <w:szCs w:val="32"/>
        </w:rPr>
      </w:pPr>
      <w:r>
        <w:rPr>
          <w:rFonts w:hint="eastAsia" w:ascii="仿宋" w:hAnsi="仿宋" w:eastAsia="仿宋" w:cs="仿宋"/>
          <w:b/>
          <w:bCs/>
          <w:sz w:val="32"/>
          <w:szCs w:val="32"/>
        </w:rPr>
        <w:t>积极</w:t>
      </w:r>
      <w:r>
        <w:rPr>
          <w:rFonts w:ascii="仿宋" w:hAnsi="仿宋" w:eastAsia="仿宋" w:cs="仿宋"/>
          <w:b/>
          <w:bCs/>
          <w:sz w:val="32"/>
          <w:szCs w:val="32"/>
        </w:rPr>
        <w:t>发展市场新业态新模式。</w:t>
      </w:r>
      <w:r>
        <w:rPr>
          <w:rFonts w:hint="eastAsia" w:ascii="仿宋" w:hAnsi="仿宋" w:eastAsia="仿宋" w:cs="仿宋"/>
          <w:sz w:val="32"/>
          <w:szCs w:val="32"/>
        </w:rPr>
        <w:t>适应“供给侧”改革和“大循环”，大力引进中国驰名商标和地方著名商标商品，积极招引细分行业中产品创新领先、市场占有份额高的“隐形冠军”“单打冠军”，促进传统商品业态升级。以进口商品销售作为拓展内贸的重要支撑，加快新型进口市场建设，构建覆盖全国的进口商品集散中心。以消费体验为核心，建设进口孵化区电子围网试验区，创新跨境线下自提新零售模式场景。发挥</w:t>
      </w:r>
      <w:bookmarkStart w:id="128" w:name="_GoBack"/>
      <w:bookmarkEnd w:id="128"/>
      <w:r>
        <w:rPr>
          <w:rFonts w:hint="eastAsia" w:ascii="仿宋" w:hAnsi="仿宋" w:eastAsia="仿宋" w:cs="仿宋"/>
          <w:sz w:val="32"/>
          <w:szCs w:val="32"/>
          <w:lang w:eastAsia="zh-CN"/>
        </w:rPr>
        <w:t>自贸试验区</w:t>
      </w:r>
      <w:r>
        <w:rPr>
          <w:rFonts w:hint="eastAsia" w:ascii="仿宋" w:hAnsi="仿宋" w:eastAsia="仿宋" w:cs="仿宋"/>
          <w:sz w:val="32"/>
          <w:szCs w:val="32"/>
        </w:rPr>
        <w:t>、综保区优势，整合优化市场资源，布局义乌民生消费类市场群，形成联动新型进口市场的现代民生市场生态体系。</w:t>
      </w:r>
    </w:p>
    <w:p>
      <w:pPr>
        <w:pStyle w:val="3"/>
        <w:spacing w:before="120" w:after="120" w:line="560" w:lineRule="exact"/>
        <w:ind w:firstLine="643" w:firstLineChars="200"/>
        <w:rPr>
          <w:rFonts w:ascii="楷体_GB2312" w:eastAsia="楷体_GB2312"/>
          <w:bCs w:val="0"/>
          <w:kern w:val="0"/>
          <w:szCs w:val="20"/>
        </w:rPr>
      </w:pPr>
      <w:bookmarkStart w:id="60" w:name="_Toc60768585"/>
      <w:bookmarkStart w:id="61" w:name="_Toc61205024"/>
      <w:r>
        <w:rPr>
          <w:rFonts w:hint="eastAsia" w:ascii="楷体_GB2312" w:eastAsia="楷体_GB2312"/>
          <w:bCs w:val="0"/>
          <w:kern w:val="0"/>
          <w:szCs w:val="20"/>
        </w:rPr>
        <w:t>（四）畅通国际大循环，推进外贸市场创新发展</w:t>
      </w:r>
      <w:bookmarkEnd w:id="60"/>
      <w:bookmarkEnd w:id="61"/>
    </w:p>
    <w:p>
      <w:pPr>
        <w:ind w:firstLine="640" w:firstLineChars="200"/>
        <w:rPr>
          <w:rFonts w:ascii="仿宋" w:hAnsi="仿宋" w:eastAsia="仿宋" w:cs="仿宋"/>
          <w:sz w:val="32"/>
          <w:szCs w:val="32"/>
        </w:rPr>
      </w:pPr>
      <w:r>
        <w:rPr>
          <w:rFonts w:hint="eastAsia" w:ascii="仿宋" w:hAnsi="仿宋" w:eastAsia="仿宋" w:cs="仿宋"/>
          <w:sz w:val="32"/>
          <w:szCs w:val="32"/>
        </w:rPr>
        <w:t>围绕构建以国内大循环为主体、国内国际双循环相互促进的新发展格局，统筹用好国内国际两个市场两种资源，启动“全球贸易商计划”，加快实现“贸易中心在义乌、分销终端在全球”。</w:t>
      </w:r>
    </w:p>
    <w:p>
      <w:pPr>
        <w:pStyle w:val="4"/>
        <w:spacing w:before="0" w:after="0" w:line="240" w:lineRule="auto"/>
        <w:ind w:firstLine="640" w:firstLineChars="200"/>
        <w:rPr>
          <w:rFonts w:ascii="楷体" w:hAnsi="楷体" w:eastAsia="楷体"/>
          <w:b w:val="0"/>
          <w:bCs w:val="0"/>
        </w:rPr>
      </w:pPr>
      <w:bookmarkStart w:id="62" w:name="_Toc60768586"/>
      <w:bookmarkStart w:id="63" w:name="_Toc61205025"/>
      <w:r>
        <w:rPr>
          <w:rFonts w:hint="eastAsia" w:ascii="楷体" w:hAnsi="楷体" w:eastAsia="楷体"/>
          <w:b w:val="0"/>
          <w:bCs w:val="0"/>
        </w:rPr>
        <w:t>1</w:t>
      </w:r>
      <w:r>
        <w:rPr>
          <w:rFonts w:ascii="楷体" w:hAnsi="楷体" w:eastAsia="楷体"/>
          <w:b w:val="0"/>
          <w:bCs w:val="0"/>
        </w:rPr>
        <w:t>.</w:t>
      </w:r>
      <w:r>
        <w:rPr>
          <w:rFonts w:hint="eastAsia" w:ascii="楷体" w:hAnsi="楷体" w:eastAsia="楷体"/>
          <w:b w:val="0"/>
          <w:bCs w:val="0"/>
        </w:rPr>
        <w:t>构建便捷</w:t>
      </w:r>
      <w:r>
        <w:rPr>
          <w:rFonts w:ascii="楷体" w:hAnsi="楷体" w:eastAsia="楷体"/>
          <w:b w:val="0"/>
          <w:bCs w:val="0"/>
        </w:rPr>
        <w:t>国际物流</w:t>
      </w:r>
      <w:r>
        <w:rPr>
          <w:rFonts w:hint="eastAsia" w:ascii="楷体" w:hAnsi="楷体" w:eastAsia="楷体"/>
          <w:b w:val="0"/>
          <w:bCs w:val="0"/>
        </w:rPr>
        <w:t>通道</w:t>
      </w:r>
      <w:bookmarkEnd w:id="62"/>
      <w:bookmarkEnd w:id="63"/>
    </w:p>
    <w:p>
      <w:pPr>
        <w:ind w:firstLine="643" w:firstLineChars="200"/>
        <w:rPr>
          <w:rFonts w:ascii="仿宋" w:hAnsi="仿宋" w:eastAsia="仿宋" w:cs="仿宋"/>
          <w:sz w:val="32"/>
          <w:szCs w:val="28"/>
        </w:rPr>
      </w:pPr>
      <w:r>
        <w:rPr>
          <w:rFonts w:hint="eastAsia" w:ascii="仿宋" w:hAnsi="仿宋" w:eastAsia="仿宋" w:cs="仿宋"/>
          <w:b/>
          <w:sz w:val="32"/>
          <w:szCs w:val="28"/>
        </w:rPr>
        <w:t>积极</w:t>
      </w:r>
      <w:r>
        <w:rPr>
          <w:rFonts w:ascii="仿宋" w:hAnsi="仿宋" w:eastAsia="仿宋" w:cs="仿宋"/>
          <w:b/>
          <w:sz w:val="32"/>
          <w:szCs w:val="28"/>
        </w:rPr>
        <w:t>建设“一带一路”枢纽港。</w:t>
      </w:r>
      <w:r>
        <w:rPr>
          <w:rFonts w:ascii="仿宋" w:hAnsi="仿宋" w:eastAsia="仿宋" w:cs="仿宋"/>
          <w:sz w:val="32"/>
          <w:szCs w:val="28"/>
        </w:rPr>
        <w:t>整合铁路口岸、航空口岸、进口肉类等指定口岸资源，叠加综保区境内关外“五大中心”功能，打造“一带一路”枢纽港</w:t>
      </w:r>
      <w:r>
        <w:rPr>
          <w:rFonts w:hint="eastAsia" w:ascii="仿宋" w:hAnsi="仿宋" w:eastAsia="仿宋" w:cs="仿宋"/>
          <w:sz w:val="32"/>
          <w:szCs w:val="28"/>
        </w:rPr>
        <w:t>，推动物流从“海外单点”布局向“全球组网”转变</w:t>
      </w:r>
      <w:r>
        <w:rPr>
          <w:rFonts w:ascii="仿宋" w:hAnsi="仿宋" w:eastAsia="仿宋" w:cs="仿宋"/>
          <w:sz w:val="32"/>
          <w:szCs w:val="28"/>
        </w:rPr>
        <w:t>。</w:t>
      </w:r>
      <w:r>
        <w:rPr>
          <w:rFonts w:ascii="仿宋" w:hAnsi="仿宋" w:eastAsia="仿宋" w:cs="Times New Roman"/>
          <w:sz w:val="32"/>
          <w:szCs w:val="32"/>
        </w:rPr>
        <w:t>提升“义新欧”班列运营能级，持续扩大“义新欧”邮件运输规模，融入长三角一体化。</w:t>
      </w:r>
      <w:r>
        <w:rPr>
          <w:rFonts w:hint="eastAsia" w:ascii="仿宋" w:hAnsi="仿宋" w:eastAsia="仿宋" w:cs="仿宋"/>
          <w:sz w:val="32"/>
          <w:szCs w:val="28"/>
        </w:rPr>
        <w:t>支持</w:t>
      </w:r>
      <w:r>
        <w:rPr>
          <w:rFonts w:ascii="仿宋" w:hAnsi="仿宋" w:eastAsia="仿宋" w:cs="仿宋"/>
          <w:sz w:val="32"/>
          <w:szCs w:val="28"/>
        </w:rPr>
        <w:t>“义新欧”</w:t>
      </w:r>
      <w:r>
        <w:rPr>
          <w:rFonts w:hint="eastAsia" w:ascii="仿宋" w:hAnsi="仿宋" w:eastAsia="仿宋" w:cs="仿宋"/>
          <w:sz w:val="32"/>
          <w:szCs w:val="28"/>
        </w:rPr>
        <w:t>、海铁联运、空铁联运</w:t>
      </w:r>
      <w:r>
        <w:rPr>
          <w:rFonts w:ascii="仿宋" w:hAnsi="仿宋" w:eastAsia="仿宋" w:cs="仿宋"/>
          <w:sz w:val="32"/>
          <w:szCs w:val="28"/>
        </w:rPr>
        <w:t>开通更多的国际航线和货运包机，服务小商品大市场的“全球买、全球卖、全球造、全球运、全球递”。</w:t>
      </w:r>
      <w:r>
        <w:rPr>
          <w:rFonts w:hint="eastAsia" w:ascii="仿宋" w:hAnsi="仿宋" w:eastAsia="仿宋" w:cs="仿宋"/>
          <w:sz w:val="32"/>
          <w:szCs w:val="28"/>
        </w:rPr>
        <w:t>积极争取</w:t>
      </w:r>
      <w:r>
        <w:rPr>
          <w:rFonts w:ascii="仿宋" w:hAnsi="仿宋" w:eastAsia="仿宋" w:cs="仿宋"/>
          <w:sz w:val="32"/>
          <w:szCs w:val="28"/>
        </w:rPr>
        <w:t>将义乌列入中欧班列枢纽城市</w:t>
      </w:r>
      <w:r>
        <w:rPr>
          <w:rFonts w:hint="eastAsia" w:ascii="仿宋" w:hAnsi="仿宋" w:eastAsia="仿宋" w:cs="仿宋"/>
          <w:sz w:val="32"/>
          <w:szCs w:val="28"/>
        </w:rPr>
        <w:t>，</w:t>
      </w:r>
      <w:r>
        <w:rPr>
          <w:rFonts w:ascii="仿宋" w:hAnsi="仿宋" w:eastAsia="仿宋" w:cs="仿宋"/>
          <w:sz w:val="32"/>
          <w:szCs w:val="28"/>
        </w:rPr>
        <w:t>支持建设长三角区域的班列集结中心，开展以铁路运输为纽带的多式联运业务，规范跨区域低价揽货，推进市场化、高质量发展，成为“一带一路”建设示范班列。</w:t>
      </w:r>
      <w:r>
        <w:rPr>
          <w:rFonts w:hint="eastAsia" w:ascii="仿宋" w:hAnsi="仿宋" w:eastAsia="仿宋" w:cs="仿宋"/>
          <w:sz w:val="32"/>
          <w:szCs w:val="28"/>
        </w:rPr>
        <w:t>积极申报</w:t>
      </w:r>
      <w:r>
        <w:rPr>
          <w:rFonts w:ascii="仿宋" w:hAnsi="仿宋" w:eastAsia="仿宋" w:cs="仿宋"/>
          <w:sz w:val="32"/>
          <w:szCs w:val="28"/>
        </w:rPr>
        <w:t>进口汽车整车和进境粮食等指定口岸。</w:t>
      </w:r>
      <w:r>
        <w:rPr>
          <w:rFonts w:ascii="仿宋" w:hAnsi="仿宋" w:eastAsia="仿宋" w:cs="Times New Roman"/>
          <w:sz w:val="32"/>
          <w:szCs w:val="32"/>
        </w:rPr>
        <w:t>建设航空物流港，推进与航空物流服务商、航空公司合作，加密“义乌-大阪”航班，谋划义乌-欧洲航线，开通更多临时货运包机。加强与国内枢纽机场对接，借力浦东、郑州等机场“空空转关”“异地货站”融入全球货运网络。</w:t>
      </w:r>
    </w:p>
    <w:p>
      <w:pPr>
        <w:ind w:firstLine="643" w:firstLineChars="200"/>
        <w:rPr>
          <w:rFonts w:ascii="仿宋" w:hAnsi="仿宋" w:eastAsia="仿宋" w:cs="Times New Roman"/>
          <w:sz w:val="32"/>
          <w:szCs w:val="32"/>
        </w:rPr>
      </w:pPr>
      <w:r>
        <w:rPr>
          <w:rFonts w:ascii="仿宋" w:hAnsi="仿宋" w:eastAsia="仿宋" w:cs="Times New Roman"/>
          <w:b/>
          <w:bCs/>
          <w:sz w:val="32"/>
          <w:szCs w:val="32"/>
        </w:rPr>
        <w:t>打造宁波舟山港“第六港区”</w:t>
      </w:r>
      <w:r>
        <w:rPr>
          <w:rFonts w:hint="eastAsia" w:ascii="仿宋" w:hAnsi="仿宋" w:eastAsia="仿宋" w:cs="Times New Roman"/>
          <w:b/>
          <w:bCs/>
          <w:sz w:val="32"/>
          <w:szCs w:val="32"/>
        </w:rPr>
        <w:t>。</w:t>
      </w:r>
      <w:r>
        <w:rPr>
          <w:rFonts w:ascii="仿宋" w:hAnsi="仿宋" w:eastAsia="仿宋" w:cs="Times New Roman"/>
          <w:sz w:val="32"/>
          <w:szCs w:val="32"/>
        </w:rPr>
        <w:t>推动义乌国际陆港与宁波舟山港关务、港务、船务一体化发展</w:t>
      </w:r>
      <w:r>
        <w:rPr>
          <w:rFonts w:hint="eastAsia" w:ascii="仿宋" w:hAnsi="仿宋" w:eastAsia="仿宋" w:cs="Times New Roman"/>
          <w:sz w:val="32"/>
          <w:szCs w:val="32"/>
        </w:rPr>
        <w:t>，</w:t>
      </w:r>
      <w:r>
        <w:rPr>
          <w:rFonts w:ascii="仿宋" w:hAnsi="仿宋" w:eastAsia="仿宋" w:cs="仿宋"/>
          <w:sz w:val="32"/>
          <w:szCs w:val="28"/>
        </w:rPr>
        <w:t>把宁波舟山港港口功能和资源向义乌前移和集聚，实现两关如一关，两港如一港。</w:t>
      </w:r>
      <w:r>
        <w:rPr>
          <w:rFonts w:hint="eastAsia" w:ascii="仿宋" w:hAnsi="仿宋" w:eastAsia="仿宋" w:cs="仿宋"/>
          <w:sz w:val="32"/>
          <w:szCs w:val="28"/>
        </w:rPr>
        <w:t>推进</w:t>
      </w:r>
      <w:r>
        <w:rPr>
          <w:rFonts w:ascii="仿宋" w:hAnsi="仿宋" w:eastAsia="仿宋" w:cs="仿宋"/>
          <w:sz w:val="32"/>
          <w:szCs w:val="28"/>
        </w:rPr>
        <w:t>义乌、宁波两地开展关务一体化改革试点，在义乌完成所有出口监管查验放行手续、进口除口岸检疫外的查验放行手续。</w:t>
      </w:r>
      <w:r>
        <w:rPr>
          <w:rFonts w:hint="eastAsia" w:ascii="仿宋" w:hAnsi="仿宋" w:eastAsia="仿宋" w:cs="仿宋"/>
          <w:sz w:val="32"/>
          <w:szCs w:val="28"/>
        </w:rPr>
        <w:t>积极争取</w:t>
      </w:r>
      <w:r>
        <w:rPr>
          <w:rFonts w:ascii="仿宋" w:hAnsi="仿宋" w:eastAsia="仿宋" w:cs="仿宋"/>
          <w:sz w:val="32"/>
          <w:szCs w:val="28"/>
        </w:rPr>
        <w:t>赋予义乌国内港口独立代码或内陆口岸地位，探索建设全国陆港和海港联动发展的改革示范。</w:t>
      </w:r>
      <w:r>
        <w:rPr>
          <w:rFonts w:hint="eastAsia" w:ascii="仿宋" w:hAnsi="仿宋" w:eastAsia="仿宋" w:cs="仿宋"/>
          <w:sz w:val="32"/>
          <w:szCs w:val="28"/>
        </w:rPr>
        <w:t>继续争取</w:t>
      </w:r>
      <w:r>
        <w:rPr>
          <w:rFonts w:ascii="仿宋" w:hAnsi="仿宋" w:eastAsia="仿宋" w:cs="仿宋"/>
          <w:sz w:val="32"/>
          <w:szCs w:val="28"/>
        </w:rPr>
        <w:t>延伸港口服务功能，推动船务公司在义乌集聚发展，做大做强堆场、订舱、签发全程提单、费用结算等核心业务，为义乌市场背后的国内200万家中小微企业提供一站式港口服务，打造全国陆港发展的样板。</w:t>
      </w:r>
    </w:p>
    <w:p>
      <w:pPr>
        <w:pStyle w:val="4"/>
        <w:spacing w:before="0" w:after="0" w:line="240" w:lineRule="auto"/>
        <w:ind w:firstLine="640" w:firstLineChars="200"/>
        <w:rPr>
          <w:rFonts w:ascii="楷体" w:hAnsi="楷体" w:eastAsia="楷体"/>
          <w:b w:val="0"/>
          <w:bCs w:val="0"/>
        </w:rPr>
      </w:pPr>
      <w:bookmarkStart w:id="64" w:name="_Toc60768587"/>
      <w:bookmarkStart w:id="65" w:name="_Toc61205026"/>
      <w:r>
        <w:rPr>
          <w:rFonts w:ascii="楷体" w:hAnsi="楷体" w:eastAsia="楷体"/>
          <w:b w:val="0"/>
          <w:bCs w:val="0"/>
        </w:rPr>
        <w:t>2.推动进出</w:t>
      </w:r>
      <w:r>
        <w:rPr>
          <w:rFonts w:ascii="楷体" w:hAnsi="楷体" w:eastAsia="楷体"/>
          <w:b w:val="0"/>
          <w:bCs w:val="0"/>
          <w:color w:val="000000" w:themeColor="text1"/>
        </w:rPr>
        <w:t>口</w:t>
      </w:r>
      <w:r>
        <w:rPr>
          <w:rFonts w:hint="eastAsia" w:ascii="楷体" w:hAnsi="楷体" w:eastAsia="楷体"/>
          <w:b w:val="0"/>
          <w:bCs w:val="0"/>
          <w:color w:val="000000" w:themeColor="text1"/>
        </w:rPr>
        <w:t>同步</w:t>
      </w:r>
      <w:r>
        <w:rPr>
          <w:rFonts w:ascii="楷体" w:hAnsi="楷体" w:eastAsia="楷体"/>
          <w:b w:val="0"/>
          <w:bCs w:val="0"/>
          <w:color w:val="000000" w:themeColor="text1"/>
        </w:rPr>
        <w:t>发</w:t>
      </w:r>
      <w:r>
        <w:rPr>
          <w:rFonts w:ascii="楷体" w:hAnsi="楷体" w:eastAsia="楷体"/>
          <w:b w:val="0"/>
          <w:bCs w:val="0"/>
        </w:rPr>
        <w:t>展</w:t>
      </w:r>
      <w:bookmarkEnd w:id="64"/>
      <w:bookmarkEnd w:id="65"/>
    </w:p>
    <w:p>
      <w:pPr>
        <w:ind w:firstLine="643" w:firstLineChars="200"/>
        <w:rPr>
          <w:rFonts w:ascii="仿宋" w:hAnsi="仿宋" w:eastAsia="仿宋"/>
        </w:rPr>
      </w:pPr>
      <w:r>
        <w:rPr>
          <w:rFonts w:hint="eastAsia" w:ascii="仿宋" w:hAnsi="仿宋" w:eastAsia="仿宋" w:cs="仿宋"/>
          <w:b/>
          <w:sz w:val="32"/>
          <w:szCs w:val="28"/>
        </w:rPr>
        <w:t>高标准建设自由贸易试验区。</w:t>
      </w:r>
      <w:r>
        <w:rPr>
          <w:rFonts w:hint="eastAsia" w:ascii="仿宋" w:hAnsi="仿宋" w:eastAsia="仿宋"/>
          <w:sz w:val="32"/>
          <w:szCs w:val="32"/>
        </w:rPr>
        <w:t>坚持制度创新、数字赋能，以大众贸易自由化便利化和国际贸易高质量发展为主攻方向，深入推进贸易、投资、运输、资金、人员往来五大自由化便利化，全力打造国际小商品自由贸易中心、数字贸易创新中心、内陆国际物流枢纽港、制造创新示范地和“一带一路”开放合作重要平台。</w:t>
      </w:r>
      <w:r>
        <w:rPr>
          <w:rFonts w:hint="eastAsia" w:ascii="仿宋" w:hAnsi="仿宋" w:eastAsia="仿宋" w:cs="仿宋"/>
          <w:sz w:val="32"/>
          <w:szCs w:val="28"/>
        </w:rPr>
        <w:t>建设具有国际先进水平的国际贸易“单一窗口”，争创服务贸易创新试点，持续推动国际贸易资金流动自由便利先行先试，重点完善适应新型国际贸易特点的海关、税务、外汇等监管和支付、物流等支撑体系，加快推进本外币合一帐户试点，积极推进跨境人民币结算，创新跨境外汇结算模式。创新“数字监管”，推进“口岸智治”，形成“无感通关”环境，打造“数据多跑路、人为少干预、风险可掌控、通关最便捷”的新型数字化监管模式。</w:t>
      </w:r>
    </w:p>
    <w:p>
      <w:pPr>
        <w:ind w:firstLine="643" w:firstLineChars="200"/>
        <w:rPr>
          <w:rFonts w:ascii="仿宋" w:hAnsi="仿宋" w:eastAsia="仿宋" w:cs="仿宋"/>
          <w:sz w:val="32"/>
          <w:szCs w:val="28"/>
        </w:rPr>
      </w:pPr>
      <w:r>
        <w:rPr>
          <w:rFonts w:hint="eastAsia" w:ascii="仿宋" w:hAnsi="仿宋" w:eastAsia="仿宋" w:cs="仿宋"/>
          <w:b/>
          <w:sz w:val="32"/>
          <w:szCs w:val="28"/>
        </w:rPr>
        <w:t>高质量发展新型进口</w:t>
      </w:r>
      <w:r>
        <w:rPr>
          <w:rFonts w:ascii="仿宋" w:hAnsi="仿宋" w:eastAsia="仿宋" w:cs="仿宋"/>
          <w:b/>
          <w:sz w:val="32"/>
          <w:szCs w:val="28"/>
        </w:rPr>
        <w:t>市场</w:t>
      </w:r>
      <w:r>
        <w:rPr>
          <w:rFonts w:hint="eastAsia" w:ascii="仿宋" w:hAnsi="仿宋" w:eastAsia="仿宋" w:cs="仿宋"/>
          <w:b/>
          <w:sz w:val="32"/>
          <w:szCs w:val="28"/>
        </w:rPr>
        <w:t>。</w:t>
      </w:r>
      <w:r>
        <w:rPr>
          <w:rFonts w:hint="eastAsia" w:ascii="仿宋" w:hAnsi="仿宋" w:eastAsia="仿宋" w:cs="仿宋"/>
          <w:sz w:val="32"/>
          <w:szCs w:val="28"/>
        </w:rPr>
        <w:t>依托综合保税区，建设“境内关外”新型进口市场，作为第六代市场的核心载体做优出口，做大进口，做强转口，实现进口出口双轮驱动构建义乌码头，世界货地。以保税体验为核心、以转口贸易为特色、以新型海关监管为抓手的集“文、商、旅、娱、展”等功能于一体的“全链路、全业态、全品类、全天候”的进口商品贸易枢纽。重点培育“保税+转口”“保税+批发”“保税+新零售”“保税+加工”“保税+展会”五大业态，实施进口发展十大行动，建设国家进口贸易促进创新示范区，带动城西板块84平方公里大建设大开发，形成配套口岸体系、基础设施体系、进口产业体系。</w:t>
      </w:r>
    </w:p>
    <w:p>
      <w:pPr>
        <w:ind w:firstLine="643" w:firstLineChars="200"/>
        <w:rPr>
          <w:rFonts w:ascii="仿宋" w:hAnsi="仿宋" w:eastAsia="仿宋"/>
          <w:sz w:val="32"/>
          <w:szCs w:val="32"/>
        </w:rPr>
      </w:pPr>
      <w:r>
        <w:rPr>
          <w:rFonts w:hint="eastAsia" w:ascii="仿宋" w:hAnsi="仿宋" w:eastAsia="仿宋"/>
          <w:b/>
          <w:sz w:val="32"/>
          <w:szCs w:val="32"/>
        </w:rPr>
        <w:t>争创RCEP经贸合作示范区。</w:t>
      </w:r>
      <w:r>
        <w:rPr>
          <w:rFonts w:hint="eastAsia" w:ascii="仿宋" w:hAnsi="仿宋" w:eastAsia="仿宋"/>
          <w:sz w:val="32"/>
          <w:szCs w:val="32"/>
        </w:rPr>
        <w:t>选取印尼、泰国、新加坡、日本、韩国等重点国家主要城市，设立派出机构，服务义乌与RCEP国家开展贸易、投资等深度合作。争取RCEP国家旅游免签或落地签试点。争取定期举办RCEP经贸博览会、合作论坛等。规划建设RCEP境外产业园、总部经济区和科创载体等，积极开展产业、科技领域合作。加大与RCEP国家主要城市的结好力度，深化人文交流。力争对RCEP国家进出口超1000亿元。</w:t>
      </w:r>
    </w:p>
    <w:p>
      <w:pPr>
        <w:pStyle w:val="4"/>
        <w:spacing w:before="0" w:after="0" w:line="240" w:lineRule="auto"/>
        <w:ind w:firstLine="640" w:firstLineChars="200"/>
      </w:pPr>
      <w:bookmarkStart w:id="66" w:name="_Toc60768588"/>
      <w:bookmarkStart w:id="67" w:name="_Toc61205027"/>
      <w:r>
        <w:rPr>
          <w:rFonts w:ascii="楷体" w:hAnsi="楷体" w:eastAsia="楷体"/>
          <w:b w:val="0"/>
          <w:bCs w:val="0"/>
        </w:rPr>
        <w:t>3</w:t>
      </w:r>
      <w:r>
        <w:rPr>
          <w:rFonts w:hint="eastAsia" w:ascii="楷体" w:hAnsi="楷体" w:eastAsia="楷体"/>
          <w:b w:val="0"/>
          <w:bCs w:val="0"/>
        </w:rPr>
        <w:t>.实施</w:t>
      </w:r>
      <w:r>
        <w:rPr>
          <w:rFonts w:ascii="楷体" w:hAnsi="楷体" w:eastAsia="楷体"/>
          <w:b w:val="0"/>
          <w:bCs w:val="0"/>
        </w:rPr>
        <w:t>市场“走出去”战略</w:t>
      </w:r>
      <w:bookmarkEnd w:id="66"/>
      <w:bookmarkEnd w:id="67"/>
    </w:p>
    <w:p>
      <w:pPr>
        <w:ind w:firstLine="643" w:firstLineChars="200"/>
        <w:rPr>
          <w:rFonts w:ascii="仿宋" w:hAnsi="仿宋" w:eastAsia="仿宋" w:cs="仿宋"/>
          <w:sz w:val="32"/>
          <w:szCs w:val="28"/>
        </w:rPr>
      </w:pPr>
      <w:r>
        <w:rPr>
          <w:rFonts w:hint="eastAsia" w:ascii="仿宋" w:hAnsi="仿宋" w:eastAsia="仿宋" w:cs="仿宋"/>
          <w:b/>
          <w:bCs/>
          <w:sz w:val="32"/>
          <w:szCs w:val="28"/>
        </w:rPr>
        <w:t>加快市场全球化网络布局。</w:t>
      </w:r>
      <w:r>
        <w:rPr>
          <w:rFonts w:hint="eastAsia" w:ascii="仿宋" w:hAnsi="仿宋" w:eastAsia="仿宋" w:cs="仿宋"/>
          <w:sz w:val="32"/>
          <w:szCs w:val="28"/>
        </w:rPr>
        <w:t>以“一带一路”沿线国家为重点，发挥商城国际公司功能，加快小商品全球分销节点布局，提升捷克站、迪拜站、非洲站等项目成效，加速落地东南亚、印度、俄罗斯等地项目，加快小商品全球分销节点和义乌市场全球性服务功能布局，推动市场业态从以单体市场为主向单体市场和连锁市场并重发展转变，形成境内外市场相呼应、母市场与子市场双向共赢的发展格局。</w:t>
      </w:r>
    </w:p>
    <w:p>
      <w:pPr>
        <w:ind w:firstLine="643" w:firstLineChars="200"/>
        <w:rPr>
          <w:rFonts w:ascii="仿宋" w:hAnsi="仿宋" w:eastAsia="仿宋"/>
          <w:sz w:val="32"/>
          <w:szCs w:val="32"/>
        </w:rPr>
      </w:pPr>
      <w:r>
        <w:rPr>
          <w:rFonts w:ascii="仿宋" w:hAnsi="仿宋" w:eastAsia="仿宋" w:cs="Times New Roman"/>
          <w:b/>
          <w:bCs/>
          <w:sz w:val="32"/>
          <w:szCs w:val="32"/>
        </w:rPr>
        <w:t>构建“义乌好货”供应链体系</w:t>
      </w:r>
      <w:r>
        <w:rPr>
          <w:rFonts w:hint="eastAsia" w:ascii="仿宋" w:hAnsi="仿宋" w:eastAsia="仿宋" w:cs="Times New Roman"/>
          <w:b/>
          <w:bCs/>
          <w:sz w:val="32"/>
          <w:szCs w:val="32"/>
        </w:rPr>
        <w:t>。</w:t>
      </w:r>
      <w:r>
        <w:rPr>
          <w:rFonts w:ascii="仿宋" w:hAnsi="仿宋" w:eastAsia="仿宋" w:cs="Times New Roman"/>
          <w:sz w:val="32"/>
          <w:szCs w:val="32"/>
        </w:rPr>
        <w:t>加快布局小商品公共海外仓、境外物流分拨中心、加工园区和海外分市场等境外项目，延伸市场产业链、服务链、价值链。加快建设eWTP数字贸易枢纽，推进阿里国际站义乌产业带项目。推动建设卢旺达、迪拜、捷克等 “带你到中国”展厅。</w:t>
      </w:r>
      <w:r>
        <w:rPr>
          <w:rFonts w:hint="eastAsia" w:ascii="仿宋" w:hAnsi="仿宋" w:eastAsia="仿宋" w:cs="仿宋"/>
          <w:sz w:val="32"/>
          <w:szCs w:val="28"/>
        </w:rPr>
        <w:t>启动“全球数字贸易枢纽组网”工程，通过自建、合建、加盟等方式，市场化布局200个海外仓，结合chinagoods免费数字贸易平台、200条低成本“环球义达”物流专线、30组以上跨境合作“两国两园”，把义乌市场、商品、物流搬到外商的“家门口、电脑上、手机上”，帮助市场主体快速抢订单、拓市场，帮助国外采购商、供应商更低门槛、更便利地对接中国市场。通过海外仓更好地控货，降低经营户赊销等风险，提升存活抵押、保理等金融服务。</w:t>
      </w:r>
    </w:p>
    <w:p>
      <w:pPr>
        <w:pStyle w:val="3"/>
        <w:spacing w:before="120" w:after="120" w:line="560" w:lineRule="exact"/>
        <w:ind w:firstLine="643" w:firstLineChars="200"/>
        <w:rPr>
          <w:rFonts w:ascii="楷体_GB2312" w:eastAsia="楷体_GB2312"/>
          <w:bCs w:val="0"/>
          <w:kern w:val="0"/>
          <w:szCs w:val="20"/>
        </w:rPr>
      </w:pPr>
      <w:bookmarkStart w:id="68" w:name="_Toc60768589"/>
      <w:bookmarkStart w:id="69" w:name="_Toc61205028"/>
      <w:r>
        <w:rPr>
          <w:rFonts w:hint="eastAsia" w:ascii="楷体_GB2312" w:eastAsia="楷体_GB2312"/>
          <w:bCs w:val="0"/>
          <w:kern w:val="0"/>
          <w:szCs w:val="20"/>
        </w:rPr>
        <w:t>（五）强化数字化赋能，积极发展新型贸易方式</w:t>
      </w:r>
      <w:bookmarkEnd w:id="68"/>
      <w:bookmarkEnd w:id="69"/>
    </w:p>
    <w:p>
      <w:pPr>
        <w:ind w:firstLine="640" w:firstLineChars="200"/>
        <w:rPr>
          <w:rFonts w:ascii="仿宋" w:hAnsi="仿宋" w:eastAsia="仿宋" w:cs="仿宋"/>
          <w:sz w:val="32"/>
          <w:szCs w:val="28"/>
        </w:rPr>
      </w:pPr>
      <w:r>
        <w:rPr>
          <w:rFonts w:hint="eastAsia" w:ascii="仿宋" w:hAnsi="仿宋" w:eastAsia="仿宋" w:cs="仿宋"/>
          <w:sz w:val="32"/>
          <w:szCs w:val="28"/>
        </w:rPr>
        <w:t>围绕eWTP引领国际贸易新规则、发展国际贸易新业态新模式、探索新型监管模式，推进</w:t>
      </w:r>
      <w:r>
        <w:rPr>
          <w:rFonts w:hint="eastAsia" w:ascii="仿宋" w:hAnsi="仿宋" w:eastAsia="仿宋"/>
          <w:sz w:val="32"/>
          <w:szCs w:val="32"/>
        </w:rPr>
        <w:t>数字货物贸易创新实践，</w:t>
      </w:r>
      <w:r>
        <w:rPr>
          <w:rFonts w:hint="eastAsia" w:ascii="仿宋" w:hAnsi="仿宋" w:eastAsia="仿宋" w:cs="仿宋"/>
          <w:sz w:val="32"/>
          <w:szCs w:val="28"/>
        </w:rPr>
        <w:t>加快构建新型贸易市场体系。</w:t>
      </w:r>
    </w:p>
    <w:p>
      <w:pPr>
        <w:pStyle w:val="4"/>
        <w:spacing w:before="0" w:after="0" w:line="240" w:lineRule="auto"/>
        <w:ind w:firstLine="640" w:firstLineChars="200"/>
        <w:rPr>
          <w:rFonts w:ascii="楷体" w:hAnsi="楷体" w:eastAsia="楷体"/>
          <w:b w:val="0"/>
          <w:bCs w:val="0"/>
        </w:rPr>
      </w:pPr>
      <w:bookmarkStart w:id="70" w:name="_Toc60768590"/>
      <w:bookmarkStart w:id="71" w:name="_Toc61205029"/>
      <w:r>
        <w:rPr>
          <w:rFonts w:ascii="楷体" w:hAnsi="楷体" w:eastAsia="楷体"/>
          <w:b w:val="0"/>
          <w:bCs w:val="0"/>
        </w:rPr>
        <w:t>1.</w:t>
      </w:r>
      <w:r>
        <w:rPr>
          <w:rFonts w:hint="eastAsia" w:ascii="楷体" w:hAnsi="楷体" w:eastAsia="楷体"/>
          <w:b w:val="0"/>
          <w:bCs w:val="0"/>
        </w:rPr>
        <w:t>加快义乌市场数字化转型</w:t>
      </w:r>
      <w:bookmarkEnd w:id="70"/>
      <w:bookmarkEnd w:id="71"/>
    </w:p>
    <w:p>
      <w:pPr>
        <w:ind w:firstLine="643" w:firstLineChars="200"/>
        <w:rPr>
          <w:rFonts w:ascii="仿宋" w:hAnsi="仿宋" w:eastAsia="仿宋"/>
          <w:sz w:val="32"/>
          <w:szCs w:val="32"/>
        </w:rPr>
      </w:pPr>
      <w:r>
        <w:rPr>
          <w:rFonts w:hint="eastAsia" w:ascii="仿宋" w:hAnsi="仿宋" w:eastAsia="仿宋"/>
          <w:b/>
          <w:sz w:val="32"/>
          <w:szCs w:val="32"/>
        </w:rPr>
        <w:t>发展“服务+数字”服务贸易新业态。</w:t>
      </w:r>
      <w:r>
        <w:rPr>
          <w:rFonts w:hint="eastAsia" w:ascii="仿宋" w:hAnsi="仿宋" w:eastAsia="仿宋"/>
          <w:sz w:val="32"/>
          <w:szCs w:val="32"/>
        </w:rPr>
        <w:t>紧跟“数字赋能、开放互联、融合集成、迭代创新、共享共赢”服务贸易发展五大趋势，加快实施“五个千亿、五个百亿”十大行动。加快搭建eWTP、Chinagoods和数字围网试验区三大平台，促进市场从“坐商”向“云商”转变，推动贸易数字化转型。重点围绕数字贸易、跨境电商、服务贸易创新，推进市场数字贸易建设水平，完善适应跨境电商贸易特点的海关、税务、外汇等监管和跨境支付、物流等支撑体系。创新“数字监管”，加快推进数字市场建设，创新实体市场与网络平台融合发展新机制，做强义乌小商品城Chinagoods贸易综合服务平台，发挥义乌市场集聚商品、订单、仓储、物流、金融等全产业链数据优势，进一步提升贸易便利化程度，加快打造“一都、一港、一班列、一通道、一示范区”，在新型国际贸易上走在前列。</w:t>
      </w:r>
    </w:p>
    <w:p>
      <w:pPr>
        <w:ind w:firstLine="643" w:firstLineChars="200"/>
        <w:rPr>
          <w:rFonts w:ascii="仿宋" w:hAnsi="仿宋" w:eastAsia="仿宋" w:cs="仿宋"/>
          <w:sz w:val="32"/>
          <w:szCs w:val="28"/>
        </w:rPr>
      </w:pPr>
      <w:r>
        <w:rPr>
          <w:rFonts w:hint="eastAsia" w:ascii="仿宋" w:hAnsi="仿宋" w:eastAsia="仿宋" w:cs="仿宋"/>
          <w:b/>
          <w:bCs/>
          <w:sz w:val="32"/>
          <w:szCs w:val="28"/>
        </w:rPr>
        <w:t>探索“市场采购+跨境电商”贸易新方式。</w:t>
      </w:r>
      <w:r>
        <w:rPr>
          <w:rFonts w:hint="eastAsia" w:ascii="仿宋" w:hAnsi="仿宋" w:eastAsia="仿宋"/>
          <w:sz w:val="32"/>
          <w:szCs w:val="32"/>
        </w:rPr>
        <w:t>加快推进中国（义乌）跨境电子商务综合试验区建设，做强出口，做大进口，探索“市场采购+跨境电商”出口贸易新方式，推动市场采购与跨境电商在选品、通关、国际供应链等方面深度融合，完善海外仓商品展示、跨境直播、一件代发等境外综合服务，探索跨境电商商品追溯、赔付机制、结算方式等方面的监管模式创新，提升海外用户采购效率和采购体验。拓展国际市场，发展“市场采购+跨境电商+海陆空+金融服务”，推动市场采购贸易突破3000亿元，跨境电商贸易额超2000亿元。</w:t>
      </w:r>
    </w:p>
    <w:p>
      <w:pPr>
        <w:ind w:firstLine="643" w:firstLineChars="200"/>
        <w:rPr>
          <w:rFonts w:ascii="仿宋" w:hAnsi="仿宋" w:eastAsia="仿宋" w:cs="仿宋"/>
          <w:sz w:val="32"/>
          <w:szCs w:val="28"/>
        </w:rPr>
      </w:pPr>
      <w:r>
        <w:rPr>
          <w:rFonts w:hint="eastAsia" w:ascii="仿宋" w:hAnsi="仿宋" w:eastAsia="仿宋"/>
          <w:b/>
          <w:sz w:val="32"/>
          <w:szCs w:val="32"/>
        </w:rPr>
        <w:t>系统构建数字贸易生态。</w:t>
      </w:r>
      <w:r>
        <w:rPr>
          <w:rFonts w:ascii="仿宋" w:hAnsi="仿宋" w:eastAsia="仿宋" w:cs="仿宋"/>
          <w:sz w:val="32"/>
          <w:szCs w:val="28"/>
        </w:rPr>
        <w:t>推动Chinagoods贸易综合服务平台全球推广，实现“线上逛义乌市场”</w:t>
      </w:r>
      <w:r>
        <w:rPr>
          <w:rFonts w:hint="eastAsia" w:ascii="仿宋" w:hAnsi="仿宋" w:eastAsia="仿宋" w:cs="仿宋"/>
          <w:sz w:val="32"/>
          <w:szCs w:val="28"/>
        </w:rPr>
        <w:t>，</w:t>
      </w:r>
      <w:r>
        <w:rPr>
          <w:rFonts w:ascii="仿宋" w:hAnsi="仿宋" w:eastAsia="仿宋" w:cs="仿宋"/>
          <w:sz w:val="32"/>
          <w:szCs w:val="28"/>
        </w:rPr>
        <w:t xml:space="preserve"> 加快市场数字化转型。</w:t>
      </w:r>
      <w:r>
        <w:rPr>
          <w:rFonts w:hint="eastAsia" w:ascii="仿宋" w:hAnsi="仿宋" w:eastAsia="仿宋"/>
          <w:sz w:val="32"/>
          <w:szCs w:val="32"/>
        </w:rPr>
        <w:t>建好全球数字自贸中心、新CBD、新时代贸易园区等重大平台，完善研发设计、品牌孵化、打样定制、时尚智造、展示贸易、办公生活等功能业态。打造一批千亿级新型商贸生态总部。推动商城集团成为数字贸易综合服务商。</w:t>
      </w:r>
      <w:r>
        <w:rPr>
          <w:rFonts w:hint="eastAsia" w:ascii="仿宋" w:hAnsi="仿宋" w:eastAsia="仿宋" w:cs="仿宋"/>
          <w:sz w:val="32"/>
          <w:szCs w:val="28"/>
        </w:rPr>
        <w:t>依托数字技术推动服务贸易创新，提升服务跨境交付能力，推动离岸、在岸服务发展。</w:t>
      </w:r>
    </w:p>
    <w:p>
      <w:pPr>
        <w:pStyle w:val="4"/>
        <w:spacing w:before="0" w:after="0" w:line="240" w:lineRule="auto"/>
        <w:ind w:firstLine="640" w:firstLineChars="200"/>
        <w:rPr>
          <w:rFonts w:ascii="楷体" w:hAnsi="楷体" w:eastAsia="楷体"/>
          <w:b w:val="0"/>
          <w:bCs w:val="0"/>
        </w:rPr>
      </w:pPr>
      <w:bookmarkStart w:id="72" w:name="_Toc60768591"/>
      <w:bookmarkStart w:id="73" w:name="_Toc61205030"/>
      <w:r>
        <w:rPr>
          <w:rFonts w:ascii="楷体" w:hAnsi="楷体" w:eastAsia="楷体"/>
          <w:b w:val="0"/>
          <w:bCs w:val="0"/>
        </w:rPr>
        <w:t>2.</w:t>
      </w:r>
      <w:r>
        <w:rPr>
          <w:rFonts w:hint="eastAsia" w:ascii="楷体" w:hAnsi="楷体" w:eastAsia="楷体"/>
          <w:b w:val="0"/>
          <w:bCs w:val="0"/>
        </w:rPr>
        <w:t>探索发展新型国际易货贸易</w:t>
      </w:r>
      <w:bookmarkEnd w:id="72"/>
      <w:bookmarkEnd w:id="73"/>
    </w:p>
    <w:p>
      <w:pPr>
        <w:ind w:firstLine="643" w:firstLineChars="200"/>
        <w:rPr>
          <w:rFonts w:ascii="仿宋" w:hAnsi="仿宋" w:eastAsia="仿宋" w:cs="仿宋"/>
          <w:sz w:val="32"/>
          <w:szCs w:val="28"/>
        </w:rPr>
      </w:pPr>
      <w:r>
        <w:rPr>
          <w:rFonts w:hint="eastAsia" w:ascii="仿宋" w:hAnsi="仿宋" w:eastAsia="仿宋" w:cs="仿宋"/>
          <w:b/>
          <w:sz w:val="32"/>
          <w:szCs w:val="28"/>
        </w:rPr>
        <w:t>探索“日用消费品+农产品+大宗商品”新型易货贸易方式。</w:t>
      </w:r>
      <w:r>
        <w:rPr>
          <w:rFonts w:hint="eastAsia" w:ascii="仿宋" w:hAnsi="仿宋" w:eastAsia="仿宋"/>
          <w:sz w:val="32"/>
          <w:szCs w:val="32"/>
        </w:rPr>
        <w:t>针对“一带一路”沿线外汇储备不足而能源、农业等资源丰富的国家，</w:t>
      </w:r>
      <w:r>
        <w:rPr>
          <w:rFonts w:hint="eastAsia" w:ascii="仿宋" w:hAnsi="仿宋" w:eastAsia="仿宋" w:cs="仿宋"/>
          <w:sz w:val="32"/>
          <w:szCs w:val="28"/>
        </w:rPr>
        <w:t>深化市场采购贸易方式试点，推动“日用消费品+农产品+大宗商品”的新型易货贸易，打造全球商品优进优出的世界货地，拓展与“一带一路”沿线国家和地区贸易新空间。</w:t>
      </w:r>
    </w:p>
    <w:p>
      <w:pPr>
        <w:ind w:firstLine="643" w:firstLineChars="200"/>
        <w:rPr>
          <w:rFonts w:ascii="仿宋" w:hAnsi="仿宋" w:eastAsia="仿宋" w:cs="仿宋"/>
          <w:sz w:val="32"/>
          <w:szCs w:val="28"/>
        </w:rPr>
      </w:pPr>
      <w:r>
        <w:rPr>
          <w:rFonts w:hint="eastAsia" w:ascii="仿宋" w:hAnsi="仿宋" w:eastAsia="仿宋"/>
          <w:b/>
          <w:sz w:val="32"/>
          <w:szCs w:val="32"/>
        </w:rPr>
        <w:t>拓展以大宗商品互换为核心的市场贸易机制。</w:t>
      </w:r>
      <w:r>
        <w:rPr>
          <w:rFonts w:hint="eastAsia" w:ascii="仿宋" w:hAnsi="仿宋" w:eastAsia="仿宋"/>
          <w:sz w:val="32"/>
          <w:szCs w:val="32"/>
        </w:rPr>
        <w:t>通过创新监管、结算方式，拓展以大宗商品互换为核心的市场贸易机制。配套基于人民币的多边本币结算模式，实现货物跨国循环，资金境内境外独立循环，推动人民币国际化。</w:t>
      </w:r>
    </w:p>
    <w:p>
      <w:pPr>
        <w:pStyle w:val="3"/>
        <w:spacing w:before="120" w:after="120" w:line="560" w:lineRule="exact"/>
        <w:ind w:firstLine="643" w:firstLineChars="200"/>
        <w:rPr>
          <w:rFonts w:ascii="楷体_GB2312" w:eastAsia="楷体_GB2312"/>
          <w:bCs w:val="0"/>
          <w:kern w:val="0"/>
          <w:szCs w:val="20"/>
        </w:rPr>
      </w:pPr>
      <w:bookmarkStart w:id="74" w:name="_Toc61205031"/>
      <w:r>
        <w:rPr>
          <w:rFonts w:hint="eastAsia" w:ascii="楷体_GB2312" w:eastAsia="楷体_GB2312"/>
          <w:bCs w:val="0"/>
          <w:kern w:val="0"/>
          <w:szCs w:val="20"/>
        </w:rPr>
        <w:t>（六）推进融合化发展，健全市场服务支撑体系</w:t>
      </w:r>
      <w:bookmarkEnd w:id="74"/>
    </w:p>
    <w:p>
      <w:pPr>
        <w:ind w:firstLine="640" w:firstLineChars="200"/>
        <w:rPr>
          <w:rFonts w:ascii="仿宋" w:hAnsi="仿宋" w:eastAsia="仿宋" w:cs="仿宋"/>
          <w:sz w:val="32"/>
          <w:szCs w:val="32"/>
        </w:rPr>
      </w:pPr>
      <w:r>
        <w:rPr>
          <w:rFonts w:hint="eastAsia" w:ascii="仿宋" w:hAnsi="仿宋" w:eastAsia="仿宋" w:cs="仿宋"/>
          <w:sz w:val="32"/>
          <w:szCs w:val="32"/>
        </w:rPr>
        <w:t>依托义乌市场多年积累形成的竞争优势，同步升级产业、物流、会展、金融等市场支撑要素，形成市场发展合力，为义乌市场畅通国内大循环、促进国内国际双循环提供强劲支撑。</w:t>
      </w:r>
    </w:p>
    <w:p>
      <w:pPr>
        <w:pStyle w:val="4"/>
        <w:spacing w:before="0" w:after="0" w:line="240" w:lineRule="auto"/>
        <w:ind w:firstLine="640" w:firstLineChars="200"/>
        <w:rPr>
          <w:rFonts w:ascii="楷体" w:hAnsi="楷体" w:eastAsia="楷体"/>
          <w:b w:val="0"/>
          <w:bCs w:val="0"/>
        </w:rPr>
      </w:pPr>
      <w:bookmarkStart w:id="75" w:name="_Toc61171498"/>
      <w:bookmarkStart w:id="76" w:name="_Toc61205032"/>
      <w:r>
        <w:rPr>
          <w:rFonts w:hint="eastAsia" w:ascii="楷体" w:hAnsi="楷体" w:eastAsia="楷体"/>
          <w:b w:val="0"/>
          <w:bCs w:val="0"/>
        </w:rPr>
        <w:t>1</w:t>
      </w:r>
      <w:r>
        <w:rPr>
          <w:rFonts w:ascii="楷体" w:hAnsi="楷体" w:eastAsia="楷体"/>
          <w:b w:val="0"/>
          <w:bCs w:val="0"/>
        </w:rPr>
        <w:t>.</w:t>
      </w:r>
      <w:r>
        <w:rPr>
          <w:rFonts w:hint="eastAsia" w:ascii="楷体" w:hAnsi="楷体" w:eastAsia="楷体"/>
          <w:b w:val="0"/>
          <w:bCs w:val="0"/>
        </w:rPr>
        <w:t>健全贸工联动发展机制</w:t>
      </w:r>
      <w:bookmarkEnd w:id="75"/>
      <w:bookmarkEnd w:id="76"/>
    </w:p>
    <w:p>
      <w:pPr>
        <w:ind w:firstLine="643" w:firstLineChars="200"/>
        <w:rPr>
          <w:rFonts w:ascii="仿宋" w:hAnsi="仿宋" w:eastAsia="仿宋" w:cs="仿宋"/>
          <w:sz w:val="32"/>
          <w:szCs w:val="32"/>
        </w:rPr>
      </w:pPr>
      <w:r>
        <w:rPr>
          <w:rFonts w:hint="eastAsia" w:ascii="仿宋" w:hAnsi="仿宋" w:eastAsia="仿宋" w:cs="仿宋"/>
          <w:b/>
          <w:sz w:val="32"/>
          <w:szCs w:val="32"/>
        </w:rPr>
        <w:t>推动本地小商品制造业做精做优。</w:t>
      </w:r>
      <w:r>
        <w:rPr>
          <w:rFonts w:hint="eastAsia" w:ascii="仿宋" w:hAnsi="仿宋" w:eastAsia="仿宋" w:cs="仿宋"/>
          <w:sz w:val="32"/>
          <w:szCs w:val="32"/>
        </w:rPr>
        <w:t>围绕</w:t>
      </w:r>
      <w:r>
        <w:rPr>
          <w:rFonts w:ascii="仿宋" w:hAnsi="仿宋" w:eastAsia="仿宋" w:cs="仿宋"/>
          <w:sz w:val="32"/>
          <w:szCs w:val="32"/>
        </w:rPr>
        <w:t>日用百货、文体用品、</w:t>
      </w:r>
      <w:r>
        <w:rPr>
          <w:rFonts w:hint="eastAsia" w:ascii="仿宋" w:hAnsi="仿宋" w:eastAsia="仿宋" w:cs="仿宋"/>
          <w:sz w:val="32"/>
          <w:szCs w:val="32"/>
        </w:rPr>
        <w:t>印刷包装、</w:t>
      </w:r>
      <w:r>
        <w:rPr>
          <w:rFonts w:ascii="仿宋" w:hAnsi="仿宋" w:eastAsia="仿宋" w:cs="仿宋"/>
          <w:sz w:val="32"/>
          <w:szCs w:val="32"/>
        </w:rPr>
        <w:t>饰品、</w:t>
      </w:r>
      <w:r>
        <w:rPr>
          <w:rFonts w:hint="eastAsia" w:ascii="仿宋" w:hAnsi="仿宋" w:eastAsia="仿宋" w:cs="仿宋"/>
          <w:sz w:val="32"/>
          <w:szCs w:val="32"/>
        </w:rPr>
        <w:t>画框、纺织</w:t>
      </w:r>
      <w:r>
        <w:rPr>
          <w:rFonts w:ascii="仿宋" w:hAnsi="仿宋" w:eastAsia="仿宋" w:cs="仿宋"/>
          <w:sz w:val="32"/>
          <w:szCs w:val="32"/>
        </w:rPr>
        <w:t>、</w:t>
      </w:r>
      <w:r>
        <w:rPr>
          <w:rFonts w:hint="eastAsia" w:ascii="仿宋" w:hAnsi="仿宋" w:eastAsia="仿宋" w:cs="仿宋"/>
          <w:sz w:val="32"/>
          <w:szCs w:val="32"/>
        </w:rPr>
        <w:t>化妆品、工艺品等优势产业，积极发展新智造模式，促进个性化定制、柔性生产等新业态，培育工业互联网平台，打造一批新的小商品优势行业。培育优势产业龙头企业，加强龙头企业上市培育和服务,打造更多“品字标浙江制造”企业和“品字标”品牌企业。鼓励中小企业创新，打造与小商品制造息息相关的“专精特新”企业群体，释放产业活力。持续扶优培新，有效提升义乌小商品制造业的整体水平，打造品质高地，重塑“义乌小商品”形象。</w:t>
      </w:r>
    </w:p>
    <w:p>
      <w:pPr>
        <w:ind w:firstLine="643" w:firstLineChars="200"/>
        <w:rPr>
          <w:rFonts w:ascii="仿宋" w:hAnsi="仿宋" w:eastAsia="仿宋" w:cs="仿宋"/>
          <w:sz w:val="32"/>
          <w:szCs w:val="32"/>
        </w:rPr>
      </w:pPr>
      <w:r>
        <w:rPr>
          <w:rFonts w:hint="eastAsia" w:ascii="仿宋" w:hAnsi="仿宋" w:eastAsia="仿宋" w:cs="仿宋"/>
          <w:b/>
          <w:sz w:val="32"/>
          <w:szCs w:val="32"/>
        </w:rPr>
        <w:t>提升小商品全产业链协作效率。</w:t>
      </w:r>
      <w:r>
        <w:rPr>
          <w:rFonts w:hint="eastAsia" w:ascii="仿宋" w:hAnsi="仿宋" w:eastAsia="仿宋" w:cs="仿宋"/>
          <w:sz w:val="32"/>
          <w:szCs w:val="32"/>
        </w:rPr>
        <w:t>实施“标准进市场” “设计进市场”等行动，加强标准制定、原创设计、知识产权保护以及人才培养等，发挥市场在小商品</w:t>
      </w:r>
      <w:r>
        <w:rPr>
          <w:rFonts w:hint="eastAsia" w:ascii="仿宋" w:hAnsi="仿宋" w:eastAsia="仿宋" w:cs="仿宋"/>
          <w:bCs/>
          <w:sz w:val="32"/>
          <w:szCs w:val="32"/>
        </w:rPr>
        <w:t>全产业链条上的联动作用，</w:t>
      </w:r>
      <w:r>
        <w:rPr>
          <w:rFonts w:hint="eastAsia" w:ascii="仿宋" w:hAnsi="仿宋" w:eastAsia="仿宋" w:cs="仿宋"/>
          <w:sz w:val="32"/>
          <w:szCs w:val="32"/>
        </w:rPr>
        <w:t>推动</w:t>
      </w:r>
      <w:r>
        <w:rPr>
          <w:rFonts w:ascii="仿宋" w:hAnsi="仿宋" w:eastAsia="仿宋" w:cs="仿宋"/>
          <w:sz w:val="32"/>
          <w:szCs w:val="32"/>
        </w:rPr>
        <w:t>小商品</w:t>
      </w:r>
      <w:r>
        <w:rPr>
          <w:rFonts w:hint="eastAsia" w:ascii="仿宋" w:hAnsi="仿宋" w:eastAsia="仿宋" w:cs="仿宋"/>
          <w:sz w:val="32"/>
          <w:szCs w:val="32"/>
        </w:rPr>
        <w:t>在</w:t>
      </w:r>
      <w:r>
        <w:rPr>
          <w:rFonts w:ascii="仿宋" w:hAnsi="仿宋" w:eastAsia="仿宋" w:cs="仿宋"/>
          <w:sz w:val="32"/>
          <w:szCs w:val="32"/>
        </w:rPr>
        <w:t>研发设计、生产制造、</w:t>
      </w:r>
      <w:r>
        <w:rPr>
          <w:rFonts w:hint="eastAsia" w:ascii="仿宋" w:hAnsi="仿宋" w:eastAsia="仿宋" w:cs="仿宋"/>
          <w:sz w:val="32"/>
          <w:szCs w:val="32"/>
        </w:rPr>
        <w:t>包</w:t>
      </w:r>
      <w:r>
        <w:rPr>
          <w:rFonts w:ascii="仿宋" w:hAnsi="仿宋" w:eastAsia="仿宋" w:cs="仿宋"/>
          <w:sz w:val="32"/>
          <w:szCs w:val="32"/>
        </w:rPr>
        <w:t>装、销售、品牌售后</w:t>
      </w:r>
      <w:r>
        <w:rPr>
          <w:rFonts w:hint="eastAsia" w:ascii="仿宋" w:hAnsi="仿宋" w:eastAsia="仿宋" w:cs="仿宋"/>
          <w:sz w:val="32"/>
          <w:szCs w:val="32"/>
        </w:rPr>
        <w:t>等</w:t>
      </w:r>
      <w:r>
        <w:rPr>
          <w:rFonts w:ascii="仿宋" w:hAnsi="仿宋" w:eastAsia="仿宋" w:cs="仿宋"/>
          <w:sz w:val="32"/>
          <w:szCs w:val="32"/>
        </w:rPr>
        <w:t>产业链</w:t>
      </w:r>
      <w:r>
        <w:rPr>
          <w:rFonts w:hint="eastAsia" w:ascii="仿宋" w:hAnsi="仿宋" w:eastAsia="仿宋" w:cs="仿宋"/>
          <w:sz w:val="32"/>
          <w:szCs w:val="32"/>
        </w:rPr>
        <w:t>各个环节上的高效协作。</w:t>
      </w:r>
    </w:p>
    <w:p>
      <w:pPr>
        <w:ind w:firstLine="643" w:firstLineChars="200"/>
        <w:rPr>
          <w:rFonts w:ascii="仿宋" w:hAnsi="仿宋" w:eastAsia="仿宋" w:cs="仿宋"/>
          <w:sz w:val="32"/>
          <w:szCs w:val="32"/>
        </w:rPr>
      </w:pPr>
      <w:r>
        <w:rPr>
          <w:rFonts w:hint="eastAsia" w:ascii="仿宋" w:hAnsi="仿宋" w:eastAsia="仿宋" w:cs="仿宋"/>
          <w:b/>
          <w:sz w:val="32"/>
          <w:szCs w:val="32"/>
        </w:rPr>
        <w:t>加强与优秀产业基地合作。</w:t>
      </w:r>
      <w:r>
        <w:rPr>
          <w:rFonts w:hint="eastAsia" w:ascii="仿宋" w:hAnsi="仿宋" w:eastAsia="仿宋" w:cs="仿宋"/>
          <w:sz w:val="32"/>
          <w:szCs w:val="32"/>
        </w:rPr>
        <w:t>依托义乌市场国际贸易优势，联合一批既有产业优势、又契合义乌市场发展的产业基地，探索实践产销异地合作模式，巩固和加强义乌市场的集散功能。</w:t>
      </w:r>
    </w:p>
    <w:p>
      <w:pPr>
        <w:pStyle w:val="4"/>
        <w:spacing w:before="0" w:after="0" w:line="240" w:lineRule="auto"/>
        <w:ind w:firstLine="640" w:firstLineChars="200"/>
        <w:rPr>
          <w:rFonts w:ascii="楷体" w:hAnsi="楷体" w:eastAsia="楷体"/>
          <w:b w:val="0"/>
          <w:bCs w:val="0"/>
        </w:rPr>
      </w:pPr>
      <w:bookmarkStart w:id="77" w:name="_Toc61171499"/>
      <w:bookmarkStart w:id="78" w:name="_Toc61205033"/>
      <w:r>
        <w:rPr>
          <w:rFonts w:hint="eastAsia" w:ascii="楷体" w:hAnsi="楷体" w:eastAsia="楷体"/>
          <w:b w:val="0"/>
          <w:bCs w:val="0"/>
        </w:rPr>
        <w:t>2</w:t>
      </w:r>
      <w:r>
        <w:rPr>
          <w:rFonts w:ascii="楷体" w:hAnsi="楷体" w:eastAsia="楷体"/>
          <w:b w:val="0"/>
          <w:bCs w:val="0"/>
        </w:rPr>
        <w:t>.</w:t>
      </w:r>
      <w:r>
        <w:rPr>
          <w:rFonts w:hint="eastAsia" w:ascii="楷体" w:hAnsi="楷体" w:eastAsia="楷体"/>
          <w:b w:val="0"/>
          <w:bCs w:val="0"/>
        </w:rPr>
        <w:t>推进商贸物流深度融合</w:t>
      </w:r>
      <w:bookmarkEnd w:id="77"/>
      <w:bookmarkEnd w:id="78"/>
    </w:p>
    <w:p>
      <w:pPr>
        <w:ind w:firstLine="643" w:firstLineChars="200"/>
        <w:rPr>
          <w:rFonts w:ascii="仿宋" w:hAnsi="仿宋" w:eastAsia="仿宋" w:cs="仿宋"/>
          <w:sz w:val="32"/>
          <w:szCs w:val="32"/>
        </w:rPr>
      </w:pPr>
      <w:r>
        <w:rPr>
          <w:rFonts w:hint="eastAsia" w:ascii="仿宋" w:hAnsi="仿宋" w:eastAsia="仿宋" w:cs="仿宋"/>
          <w:b/>
          <w:sz w:val="32"/>
          <w:szCs w:val="32"/>
        </w:rPr>
        <w:t>打造商贸服务型国家物流枢纽样板。</w:t>
      </w:r>
      <w:r>
        <w:rPr>
          <w:rFonts w:hint="eastAsia" w:ascii="仿宋" w:hAnsi="仿宋" w:eastAsia="仿宋" w:cs="仿宋"/>
          <w:sz w:val="32"/>
          <w:szCs w:val="32"/>
        </w:rPr>
        <w:t>围绕全球小商品供应链中心的发展目标，探索以市场为基础、以物流为支撑的融合发展模式，</w:t>
      </w:r>
      <w:r>
        <w:rPr>
          <w:rFonts w:hint="eastAsia" w:ascii="仿宋" w:hAnsi="仿宋" w:eastAsia="仿宋"/>
          <w:sz w:val="32"/>
          <w:szCs w:val="32"/>
        </w:rPr>
        <w:t>形成独具义乌特色的“大商贸+大物流”的商贸服务型国家物流枢纽</w:t>
      </w:r>
      <w:r>
        <w:rPr>
          <w:rFonts w:hint="eastAsia" w:ascii="仿宋" w:hAnsi="仿宋" w:eastAsia="仿宋" w:cs="仿宋"/>
          <w:sz w:val="32"/>
          <w:szCs w:val="32"/>
        </w:rPr>
        <w:t>。畅通“义新欧”“义甬舟”等国际物流大通道，搭建国际采供平台和国际贸易服务平台，形成覆盖全球的商贸物流服务网络，提升全球商贸物流资源的配置能力。推动市域物流设施与枢纽平台互联互通、共享共用，加强与其他物流节点城市物流设施的功能协同与业务对接，服务义乌市场“走出去”战略。</w:t>
      </w:r>
    </w:p>
    <w:p>
      <w:pPr>
        <w:ind w:firstLine="643" w:firstLineChars="200"/>
        <w:rPr>
          <w:rFonts w:ascii="仿宋" w:hAnsi="仿宋" w:eastAsia="仿宋" w:cs="仿宋"/>
          <w:sz w:val="32"/>
          <w:szCs w:val="32"/>
        </w:rPr>
      </w:pPr>
      <w:r>
        <w:rPr>
          <w:rFonts w:hint="eastAsia" w:ascii="仿宋" w:hAnsi="仿宋" w:eastAsia="仿宋" w:cs="仿宋"/>
          <w:b/>
          <w:sz w:val="32"/>
          <w:szCs w:val="32"/>
        </w:rPr>
        <w:t>整合优化物流设施资源。</w:t>
      </w:r>
      <w:r>
        <w:rPr>
          <w:rFonts w:hint="eastAsia" w:ascii="仿宋" w:hAnsi="仿宋" w:eastAsia="仿宋" w:cs="仿宋"/>
          <w:sz w:val="32"/>
          <w:szCs w:val="32"/>
        </w:rPr>
        <w:t>加快市场周边立体化、智能化、规模化仓储项目的规划与建设，</w:t>
      </w:r>
      <w:r>
        <w:rPr>
          <w:rFonts w:hint="eastAsia" w:ascii="仿宋" w:hAnsi="仿宋" w:eastAsia="仿宋"/>
          <w:sz w:val="32"/>
          <w:szCs w:val="32"/>
        </w:rPr>
        <w:t>着力解决市场面临的“仓储难”、“仓储贵”问题，探索共享仓储、云仓储、分时仓储、智慧仓储等模式，提升仓储的配套服务能力，进一步压缩仓储成本，提高仓储使用率</w:t>
      </w:r>
      <w:r>
        <w:rPr>
          <w:rFonts w:hint="eastAsia" w:ascii="仿宋" w:hAnsi="仿宋" w:eastAsia="仿宋" w:cs="仿宋"/>
          <w:sz w:val="32"/>
          <w:szCs w:val="32"/>
        </w:rPr>
        <w:t>。统筹规划、迁建、改造等方式整合保税、通关等物流设施，推动物流资源空间集聚。推进物流设施信息化、智能化建设，鼓励物流园区、仓储基地或快递分拨中心自建或使用信息平台，推广应用自动分拣、智能搬运和装卸等智能物流装备，</w:t>
      </w:r>
      <w:r>
        <w:rPr>
          <w:rFonts w:ascii="仿宋" w:hAnsi="仿宋" w:eastAsia="仿宋" w:cs="仿宋"/>
          <w:sz w:val="32"/>
          <w:szCs w:val="32"/>
        </w:rPr>
        <w:t>提</w:t>
      </w:r>
      <w:r>
        <w:rPr>
          <w:rFonts w:hint="eastAsia" w:ascii="仿宋" w:hAnsi="仿宋" w:eastAsia="仿宋" w:cs="仿宋"/>
          <w:sz w:val="32"/>
          <w:szCs w:val="32"/>
        </w:rPr>
        <w:t>升</w:t>
      </w:r>
      <w:r>
        <w:rPr>
          <w:rFonts w:ascii="仿宋" w:hAnsi="仿宋" w:eastAsia="仿宋" w:cs="仿宋"/>
          <w:sz w:val="32"/>
          <w:szCs w:val="32"/>
        </w:rPr>
        <w:t>物流服务效能</w:t>
      </w:r>
      <w:r>
        <w:rPr>
          <w:rFonts w:hint="eastAsia" w:ascii="仿宋" w:hAnsi="仿宋" w:eastAsia="仿宋" w:cs="仿宋"/>
          <w:sz w:val="32"/>
          <w:szCs w:val="32"/>
        </w:rPr>
        <w:t>。</w:t>
      </w:r>
    </w:p>
    <w:p>
      <w:pPr>
        <w:ind w:firstLine="643" w:firstLineChars="200"/>
        <w:rPr>
          <w:rFonts w:ascii="仿宋" w:hAnsi="仿宋" w:eastAsia="仿宋" w:cs="仿宋"/>
          <w:sz w:val="32"/>
          <w:szCs w:val="32"/>
        </w:rPr>
      </w:pPr>
      <w:r>
        <w:rPr>
          <w:rFonts w:hint="eastAsia" w:ascii="仿宋" w:hAnsi="仿宋" w:eastAsia="仿宋" w:cs="仿宋"/>
          <w:b/>
          <w:sz w:val="32"/>
          <w:szCs w:val="32"/>
        </w:rPr>
        <w:t>提升物流网络组织服务能力。</w:t>
      </w:r>
      <w:r>
        <w:rPr>
          <w:rFonts w:hint="eastAsia" w:ascii="仿宋" w:hAnsi="仿宋" w:eastAsia="仿宋"/>
          <w:sz w:val="32"/>
          <w:szCs w:val="32"/>
        </w:rPr>
        <w:t>加快完善与市场配套的物流网络建设，</w:t>
      </w:r>
      <w:r>
        <w:rPr>
          <w:rFonts w:hint="eastAsia" w:ascii="仿宋" w:hAnsi="仿宋" w:eastAsia="仿宋" w:cs="仿宋"/>
          <w:sz w:val="32"/>
          <w:szCs w:val="32"/>
        </w:rPr>
        <w:t>推动干线运输、区域分拨、多式联运、仓储服务、跨境物流、城市配送等物流服务资源集聚，强化国内外区域协同联动，提升“干支仓配”组织能力，为义乌市场成为国内国际双循环“重要枢纽”提供强劲支撑。</w:t>
      </w:r>
    </w:p>
    <w:p>
      <w:pPr>
        <w:pStyle w:val="4"/>
        <w:spacing w:before="0" w:after="0" w:line="240" w:lineRule="auto"/>
        <w:ind w:firstLine="640" w:firstLineChars="200"/>
        <w:rPr>
          <w:rFonts w:ascii="楷体" w:hAnsi="楷体" w:eastAsia="楷体"/>
          <w:b w:val="0"/>
          <w:bCs w:val="0"/>
        </w:rPr>
      </w:pPr>
      <w:bookmarkStart w:id="79" w:name="_Toc61171500"/>
      <w:bookmarkStart w:id="80" w:name="_Toc61205034"/>
      <w:r>
        <w:rPr>
          <w:rFonts w:ascii="楷体" w:hAnsi="楷体" w:eastAsia="楷体"/>
          <w:b w:val="0"/>
          <w:bCs w:val="0"/>
        </w:rPr>
        <w:t>3.</w:t>
      </w:r>
      <w:r>
        <w:rPr>
          <w:rFonts w:hint="eastAsia" w:ascii="楷体" w:hAnsi="楷体" w:eastAsia="楷体"/>
          <w:b w:val="0"/>
          <w:bCs w:val="0"/>
        </w:rPr>
        <w:t>强化“展场联动”发展</w:t>
      </w:r>
      <w:bookmarkEnd w:id="79"/>
      <w:bookmarkEnd w:id="80"/>
    </w:p>
    <w:p>
      <w:pPr>
        <w:ind w:firstLine="643" w:firstLineChars="200"/>
        <w:rPr>
          <w:rFonts w:ascii="仿宋" w:hAnsi="仿宋" w:eastAsia="仿宋" w:cs="仿宋"/>
          <w:sz w:val="32"/>
          <w:szCs w:val="32"/>
        </w:rPr>
      </w:pPr>
      <w:r>
        <w:rPr>
          <w:rFonts w:hint="eastAsia" w:ascii="仿宋" w:hAnsi="仿宋" w:eastAsia="仿宋" w:cs="仿宋"/>
          <w:b/>
          <w:sz w:val="32"/>
          <w:szCs w:val="32"/>
        </w:rPr>
        <w:t>全面</w:t>
      </w:r>
      <w:r>
        <w:rPr>
          <w:rFonts w:ascii="仿宋" w:hAnsi="仿宋" w:eastAsia="仿宋" w:cs="仿宋"/>
          <w:b/>
          <w:sz w:val="32"/>
          <w:szCs w:val="32"/>
        </w:rPr>
        <w:t>推</w:t>
      </w:r>
      <w:r>
        <w:rPr>
          <w:rFonts w:hint="eastAsia" w:ascii="仿宋" w:hAnsi="仿宋" w:eastAsia="仿宋" w:cs="仿宋"/>
          <w:b/>
          <w:sz w:val="32"/>
          <w:szCs w:val="32"/>
        </w:rPr>
        <w:t>进</w:t>
      </w:r>
      <w:r>
        <w:rPr>
          <w:rFonts w:hint="eastAsia" w:ascii="仿宋" w:hAnsi="仿宋" w:eastAsia="仿宋"/>
          <w:b/>
          <w:sz w:val="32"/>
          <w:szCs w:val="32"/>
        </w:rPr>
        <w:t>“展场联动”。</w:t>
      </w:r>
      <w:r>
        <w:rPr>
          <w:rFonts w:hint="eastAsia" w:ascii="仿宋" w:hAnsi="仿宋" w:eastAsia="仿宋"/>
          <w:sz w:val="32"/>
          <w:szCs w:val="32"/>
        </w:rPr>
        <w:t xml:space="preserve"> 充分发挥和利用好义乌各类会展资源</w:t>
      </w:r>
      <w:r>
        <w:rPr>
          <w:rFonts w:hint="eastAsia" w:ascii="仿宋" w:hAnsi="仿宋" w:eastAsia="仿宋" w:cs="仿宋"/>
          <w:sz w:val="32"/>
          <w:szCs w:val="32"/>
        </w:rPr>
        <w:t>，为义乌市场引流，精准招引专业采购商。发挥展会 “试金石”作用，与积极开展对接会、发布会等活动，推动适合义乌市场发展的</w:t>
      </w:r>
      <w:r>
        <w:rPr>
          <w:rFonts w:ascii="仿宋" w:hAnsi="仿宋" w:eastAsia="仿宋" w:cs="仿宋"/>
          <w:sz w:val="32"/>
          <w:szCs w:val="32"/>
        </w:rPr>
        <w:t>“新技术”“新产品”</w:t>
      </w:r>
      <w:r>
        <w:rPr>
          <w:rFonts w:hint="eastAsia" w:ascii="仿宋" w:hAnsi="仿宋" w:eastAsia="仿宋" w:cs="仿宋"/>
          <w:sz w:val="32"/>
          <w:szCs w:val="32"/>
        </w:rPr>
        <w:t>落地义乌，优化义乌市场产品结构，提高义乌</w:t>
      </w:r>
      <w:r>
        <w:rPr>
          <w:rFonts w:ascii="仿宋" w:hAnsi="仿宋" w:eastAsia="仿宋" w:cs="仿宋"/>
          <w:sz w:val="32"/>
          <w:szCs w:val="32"/>
        </w:rPr>
        <w:t>市场</w:t>
      </w:r>
      <w:r>
        <w:rPr>
          <w:rFonts w:hint="eastAsia" w:ascii="仿宋" w:hAnsi="仿宋" w:eastAsia="仿宋" w:cs="仿宋"/>
          <w:sz w:val="32"/>
          <w:szCs w:val="32"/>
        </w:rPr>
        <w:t>竞争力。</w:t>
      </w:r>
    </w:p>
    <w:p>
      <w:pPr>
        <w:ind w:firstLine="643" w:firstLineChars="200"/>
        <w:rPr>
          <w:rFonts w:ascii="仿宋" w:hAnsi="仿宋" w:eastAsia="仿宋" w:cs="仿宋"/>
          <w:sz w:val="32"/>
          <w:szCs w:val="32"/>
        </w:rPr>
      </w:pPr>
      <w:r>
        <w:rPr>
          <w:rFonts w:hint="eastAsia" w:ascii="仿宋" w:hAnsi="仿宋" w:eastAsia="仿宋" w:cs="仿宋"/>
          <w:b/>
          <w:sz w:val="32"/>
          <w:szCs w:val="32"/>
        </w:rPr>
        <w:t>服务市场“走出去”战略。</w:t>
      </w:r>
      <w:r>
        <w:rPr>
          <w:rFonts w:hint="eastAsia" w:ascii="仿宋" w:hAnsi="仿宋" w:eastAsia="仿宋" w:cs="仿宋"/>
          <w:sz w:val="32"/>
          <w:szCs w:val="32"/>
        </w:rPr>
        <w:t>充分调动与义乌有密切联系的各大商协会资源和市场“朋友圈”，拓展会展合作空间。积极举办市场万里行、商品展销会、订货会等活动，组织市场经营户积极“走出去”，推进义乌小商品由中心城市大型销地市场向区域城市下沉。</w:t>
      </w:r>
      <w:r>
        <w:rPr>
          <w:rFonts w:hint="eastAsia" w:ascii="仿宋" w:hAnsi="仿宋" w:eastAsia="仿宋" w:cs="Times New Roman"/>
          <w:sz w:val="32"/>
          <w:szCs w:val="32"/>
        </w:rPr>
        <w:t>充分发挥展会与全球市场的联动效应，</w:t>
      </w:r>
      <w:r>
        <w:rPr>
          <w:rFonts w:hint="eastAsia" w:ascii="仿宋" w:hAnsi="仿宋" w:eastAsia="仿宋" w:cs="仿宋_GB2312"/>
          <w:sz w:val="32"/>
          <w:szCs w:val="32"/>
        </w:rPr>
        <w:t>积极组织市场经营户抱团赴境外参展，</w:t>
      </w:r>
      <w:r>
        <w:rPr>
          <w:rFonts w:hint="eastAsia" w:ascii="仿宋" w:hAnsi="仿宋" w:eastAsia="仿宋" w:cs="Times New Roman"/>
          <w:sz w:val="32"/>
          <w:szCs w:val="32"/>
        </w:rPr>
        <w:t>赴“一带一路”沿线国家、RCEP和CPTPP成员国设立海外展区，增强会展对贸易的促进和带动作用。</w:t>
      </w:r>
    </w:p>
    <w:p>
      <w:pPr>
        <w:pStyle w:val="4"/>
        <w:spacing w:before="0" w:after="0" w:line="240" w:lineRule="auto"/>
        <w:ind w:firstLine="640" w:firstLineChars="200"/>
        <w:rPr>
          <w:rFonts w:ascii="楷体" w:hAnsi="楷体" w:eastAsia="楷体"/>
          <w:b w:val="0"/>
          <w:bCs w:val="0"/>
        </w:rPr>
      </w:pPr>
      <w:bookmarkStart w:id="81" w:name="_Toc61171501"/>
      <w:bookmarkStart w:id="82" w:name="_Toc61205035"/>
      <w:r>
        <w:rPr>
          <w:rFonts w:ascii="楷体" w:hAnsi="楷体" w:eastAsia="楷体"/>
          <w:b w:val="0"/>
          <w:bCs w:val="0"/>
        </w:rPr>
        <w:t>4.</w:t>
      </w:r>
      <w:r>
        <w:rPr>
          <w:rFonts w:hint="eastAsia" w:ascii="楷体" w:hAnsi="楷体" w:eastAsia="楷体"/>
          <w:b w:val="0"/>
          <w:bCs w:val="0"/>
        </w:rPr>
        <w:t>加强金融对市场的支撑</w:t>
      </w:r>
      <w:bookmarkEnd w:id="81"/>
      <w:bookmarkEnd w:id="82"/>
    </w:p>
    <w:p>
      <w:pPr>
        <w:ind w:firstLine="643" w:firstLineChars="200"/>
        <w:rPr>
          <w:rFonts w:ascii="仿宋" w:hAnsi="仿宋" w:eastAsia="仿宋" w:cs="仿宋"/>
          <w:sz w:val="32"/>
          <w:szCs w:val="32"/>
        </w:rPr>
      </w:pPr>
      <w:r>
        <w:rPr>
          <w:rFonts w:hint="eastAsia" w:ascii="仿宋" w:hAnsi="仿宋" w:eastAsia="仿宋" w:cs="仿宋"/>
          <w:b/>
          <w:sz w:val="32"/>
          <w:szCs w:val="32"/>
        </w:rPr>
        <w:t>做强国际贸易金融服务。</w:t>
      </w:r>
      <w:r>
        <w:rPr>
          <w:rFonts w:hint="eastAsia" w:ascii="仿宋" w:hAnsi="仿宋" w:eastAsia="仿宋"/>
          <w:sz w:val="32"/>
          <w:szCs w:val="32"/>
        </w:rPr>
        <w:t>实施个人贸易外汇结算和境外采购商收结汇政策，加快开展本外币一体化试点，鼓励境外采购商在自贸区内设立N</w:t>
      </w:r>
      <w:r>
        <w:rPr>
          <w:rFonts w:ascii="仿宋" w:hAnsi="仿宋" w:eastAsia="仿宋"/>
          <w:sz w:val="32"/>
          <w:szCs w:val="32"/>
        </w:rPr>
        <w:t>RA</w:t>
      </w:r>
      <w:r>
        <w:rPr>
          <w:rFonts w:hint="eastAsia" w:ascii="仿宋" w:hAnsi="仿宋" w:eastAsia="仿宋"/>
          <w:sz w:val="32"/>
          <w:szCs w:val="32"/>
        </w:rPr>
        <w:t>账户开展外汇交易业务，推动银行创新收汇贷、跨境贷、进口通等免质押产品，支持民营企业用存货、设备、知识产权、金融资产、应收账款等动产融资，进一步做强国际贸易金融服务。</w:t>
      </w:r>
      <w:r>
        <w:rPr>
          <w:rFonts w:hint="eastAsia" w:ascii="仿宋" w:hAnsi="仿宋" w:eastAsia="仿宋" w:cs="仿宋"/>
          <w:sz w:val="32"/>
          <w:szCs w:val="32"/>
        </w:rPr>
        <w:t>加强政策研究，向上争取</w:t>
      </w:r>
      <w:r>
        <w:rPr>
          <w:rFonts w:ascii="仿宋" w:hAnsi="仿宋" w:eastAsia="仿宋" w:cs="仿宋"/>
          <w:sz w:val="32"/>
          <w:szCs w:val="32"/>
        </w:rPr>
        <w:t>更加</w:t>
      </w:r>
      <w:r>
        <w:rPr>
          <w:rFonts w:hint="eastAsia" w:ascii="仿宋" w:hAnsi="仿宋" w:eastAsia="仿宋" w:cs="仿宋"/>
          <w:sz w:val="32"/>
          <w:szCs w:val="32"/>
        </w:rPr>
        <w:t>开放</w:t>
      </w:r>
      <w:r>
        <w:rPr>
          <w:rFonts w:ascii="仿宋" w:hAnsi="仿宋" w:eastAsia="仿宋" w:cs="仿宋"/>
          <w:sz w:val="32"/>
          <w:szCs w:val="32"/>
        </w:rPr>
        <w:t>的</w:t>
      </w:r>
      <w:r>
        <w:rPr>
          <w:rFonts w:hint="eastAsia" w:ascii="仿宋" w:hAnsi="仿宋" w:eastAsia="仿宋" w:cs="仿宋"/>
          <w:sz w:val="32"/>
          <w:szCs w:val="32"/>
        </w:rPr>
        <w:t>国际</w:t>
      </w:r>
      <w:r>
        <w:rPr>
          <w:rFonts w:ascii="仿宋" w:hAnsi="仿宋" w:eastAsia="仿宋" w:cs="仿宋"/>
          <w:sz w:val="32"/>
          <w:szCs w:val="32"/>
        </w:rPr>
        <w:t>贸易</w:t>
      </w:r>
      <w:r>
        <w:rPr>
          <w:rFonts w:hint="eastAsia" w:ascii="仿宋" w:hAnsi="仿宋" w:eastAsia="仿宋" w:cs="仿宋"/>
          <w:sz w:val="32"/>
          <w:szCs w:val="32"/>
        </w:rPr>
        <w:t>金融权限，推进跨境贸易资金结算便利化。</w:t>
      </w:r>
    </w:p>
    <w:p>
      <w:pPr>
        <w:ind w:firstLine="643" w:firstLineChars="200"/>
        <w:rPr>
          <w:rFonts w:ascii="仿宋" w:hAnsi="仿宋" w:eastAsia="仿宋" w:cs="仿宋"/>
          <w:sz w:val="32"/>
          <w:szCs w:val="32"/>
        </w:rPr>
      </w:pPr>
      <w:r>
        <w:rPr>
          <w:rFonts w:hint="eastAsia" w:ascii="仿宋" w:hAnsi="仿宋" w:eastAsia="仿宋" w:cs="仿宋"/>
          <w:b/>
          <w:sz w:val="32"/>
          <w:szCs w:val="32"/>
        </w:rPr>
        <w:t>设计更加适用于市场商位经营主体的金融产品。</w:t>
      </w:r>
      <w:r>
        <w:rPr>
          <w:rFonts w:ascii="仿宋" w:hAnsi="仿宋" w:eastAsia="仿宋" w:cs="仿宋"/>
          <w:sz w:val="32"/>
          <w:szCs w:val="32"/>
        </w:rPr>
        <w:t>提高商位质押贷款比例，下调放款利率，为优质经营主体提供资金扶持</w:t>
      </w:r>
      <w:r>
        <w:rPr>
          <w:rFonts w:hint="eastAsia" w:ascii="仿宋" w:hAnsi="仿宋" w:eastAsia="仿宋" w:cs="仿宋"/>
          <w:sz w:val="32"/>
          <w:szCs w:val="32"/>
        </w:rPr>
        <w:t>，增强市场经营户的活力和</w:t>
      </w:r>
      <w:r>
        <w:rPr>
          <w:rFonts w:ascii="仿宋" w:hAnsi="仿宋" w:eastAsia="仿宋" w:cs="仿宋"/>
          <w:sz w:val="32"/>
          <w:szCs w:val="32"/>
        </w:rPr>
        <w:t>动力</w:t>
      </w:r>
      <w:r>
        <w:rPr>
          <w:rFonts w:hint="eastAsia" w:ascii="仿宋" w:hAnsi="仿宋" w:eastAsia="仿宋" w:cs="仿宋"/>
          <w:sz w:val="32"/>
          <w:szCs w:val="32"/>
        </w:rPr>
        <w:t>。综合</w:t>
      </w:r>
      <w:r>
        <w:rPr>
          <w:rFonts w:hint="eastAsia" w:ascii="仿宋" w:hAnsi="仿宋" w:eastAsia="仿宋"/>
          <w:sz w:val="32"/>
          <w:szCs w:val="32"/>
        </w:rPr>
        <w:t>运用再贷款、再贴现等方式，引导金融机构加大对进口业务的信贷支持力度。</w:t>
      </w:r>
      <w:r>
        <w:rPr>
          <w:rFonts w:hint="eastAsia" w:ascii="仿宋" w:hAnsi="仿宋" w:eastAsia="仿宋" w:cs="仿宋_GB2312"/>
          <w:sz w:val="32"/>
          <w:szCs w:val="32"/>
        </w:rPr>
        <w:t>优化现有信保融资产品，畅通监管部门和金融机构沟通渠道，依托真实的贸易数据开展供应链金融创新，实现“数字资产”信用化。</w:t>
      </w:r>
    </w:p>
    <w:p>
      <w:pPr>
        <w:pStyle w:val="2"/>
        <w:spacing w:before="120" w:after="120" w:line="660" w:lineRule="exact"/>
        <w:ind w:firstLine="720" w:firstLineChars="200"/>
        <w:rPr>
          <w:rFonts w:ascii="黑体" w:hAnsi="黑体" w:eastAsia="黑体" w:cs="Times New Roman"/>
          <w:b w:val="0"/>
          <w:sz w:val="36"/>
          <w:szCs w:val="36"/>
        </w:rPr>
      </w:pPr>
      <w:bookmarkStart w:id="83" w:name="_Toc61205036"/>
      <w:r>
        <w:rPr>
          <w:rFonts w:hint="eastAsia" w:ascii="黑体" w:hAnsi="黑体" w:eastAsia="黑体" w:cs="Times New Roman"/>
          <w:b w:val="0"/>
          <w:sz w:val="36"/>
          <w:szCs w:val="36"/>
        </w:rPr>
        <w:t>五、重点工程</w:t>
      </w:r>
      <w:bookmarkEnd w:id="83"/>
    </w:p>
    <w:p>
      <w:pPr>
        <w:pStyle w:val="3"/>
        <w:spacing w:before="120" w:after="120" w:line="560" w:lineRule="exact"/>
        <w:ind w:firstLine="643" w:firstLineChars="200"/>
        <w:rPr>
          <w:rFonts w:ascii="楷体_GB2312" w:eastAsia="楷体_GB2312"/>
          <w:bCs w:val="0"/>
          <w:kern w:val="0"/>
          <w:szCs w:val="20"/>
        </w:rPr>
      </w:pPr>
      <w:bookmarkStart w:id="84" w:name="_Toc61205037"/>
      <w:r>
        <w:rPr>
          <w:rFonts w:hint="eastAsia" w:ascii="楷体_GB2312" w:eastAsia="楷体_GB2312"/>
          <w:bCs w:val="0"/>
          <w:kern w:val="0"/>
          <w:szCs w:val="20"/>
        </w:rPr>
        <w:t>（一）市场引新培优工程</w:t>
      </w:r>
      <w:bookmarkEnd w:id="84"/>
    </w:p>
    <w:p>
      <w:pPr>
        <w:ind w:firstLine="640" w:firstLineChars="200"/>
        <w:rPr>
          <w:rFonts w:ascii="仿宋" w:hAnsi="仿宋" w:eastAsia="仿宋"/>
          <w:sz w:val="32"/>
          <w:szCs w:val="32"/>
        </w:rPr>
      </w:pPr>
      <w:r>
        <w:rPr>
          <w:rFonts w:hint="eastAsia" w:ascii="仿宋" w:hAnsi="仿宋" w:eastAsia="仿宋"/>
          <w:sz w:val="32"/>
          <w:szCs w:val="32"/>
        </w:rPr>
        <w:t>围绕高质量建设世界“小商品之都”的目标要求，加大引新培优力度，更新市场业态、优化市场主体。</w:t>
      </w:r>
    </w:p>
    <w:p>
      <w:pPr>
        <w:ind w:firstLine="643" w:firstLineChars="200"/>
        <w:rPr>
          <w:rFonts w:ascii="仿宋" w:hAnsi="仿宋" w:eastAsia="仿宋"/>
          <w:sz w:val="32"/>
          <w:szCs w:val="32"/>
        </w:rPr>
      </w:pPr>
      <w:r>
        <w:rPr>
          <w:rFonts w:hint="eastAsia" w:ascii="仿宋" w:hAnsi="仿宋" w:eastAsia="仿宋"/>
          <w:b/>
          <w:sz w:val="32"/>
          <w:szCs w:val="32"/>
        </w:rPr>
        <w:t>一是实施数字主体引进培育行动。</w:t>
      </w:r>
      <w:r>
        <w:rPr>
          <w:rFonts w:hint="eastAsia" w:ascii="仿宋" w:hAnsi="仿宋" w:eastAsia="仿宋"/>
          <w:sz w:val="32"/>
          <w:szCs w:val="32"/>
        </w:rPr>
        <w:t>积极与电子商务大平台、大卖家积极合作，引进字节跳动（抖音）、快手科技、红豆角等新兴平台。推进“百行万户”行动，即服务细分行业100个以上，为200万中小微主体实现数字赋能。推动电商企业品牌化、规范化发展，实现电商产业持续高质量发展。二是</w:t>
      </w:r>
      <w:r>
        <w:rPr>
          <w:rFonts w:hint="eastAsia" w:ascii="仿宋" w:hAnsi="仿宋" w:eastAsia="仿宋" w:cs="Times New Roman"/>
          <w:b/>
          <w:sz w:val="32"/>
          <w:szCs w:val="32"/>
        </w:rPr>
        <w:t>实施“义乌好货”培优行动</w:t>
      </w:r>
      <w:r>
        <w:rPr>
          <w:rFonts w:hint="eastAsia" w:ascii="仿宋" w:hAnsi="仿宋" w:eastAsia="仿宋" w:cs="Times New Roman"/>
          <w:bCs/>
          <w:sz w:val="32"/>
          <w:szCs w:val="32"/>
        </w:rPr>
        <w:t>。优选服装、家居、饰品、小家电等垂直领域的优秀经销商和制造商，完善“义乌好货”商品筛选评价体系，优选好货核心供应商，打通供货、仓储、展示、交易等流通环节，完善“义乌好货”的质量管理体系和商标授权机制，形成集质量、技术、服务、信誉于一体的品牌输出模式，加快建立“义乌好货”连锁加盟机制。三是</w:t>
      </w:r>
      <w:r>
        <w:rPr>
          <w:rFonts w:hint="eastAsia" w:ascii="仿宋" w:hAnsi="仿宋" w:eastAsia="仿宋" w:cs="Times New Roman"/>
          <w:b/>
          <w:sz w:val="32"/>
          <w:szCs w:val="32"/>
        </w:rPr>
        <w:t>实施专业街新业态培优行动。</w:t>
      </w:r>
      <w:r>
        <w:rPr>
          <w:rFonts w:hint="eastAsia" w:ascii="仿宋" w:hAnsi="仿宋" w:eastAsia="仿宋"/>
          <w:sz w:val="32"/>
          <w:szCs w:val="32"/>
        </w:rPr>
        <w:t>按照“划行归市”、“生态集聚”要求，规划引导相同行业全产业链集聚发展，引导新业态、新品牌、新体验的商家入驻，打造良性互动的产业生态。推动专业街与市场错位、互促共融发展格局，打造10个专业街发展样板区，培育新业态、引进新主体，专业街实现量的扩张、质的提升。</w:t>
      </w:r>
    </w:p>
    <w:p>
      <w:pPr>
        <w:pStyle w:val="3"/>
        <w:spacing w:before="120" w:after="120" w:line="560" w:lineRule="exact"/>
        <w:ind w:firstLine="643" w:firstLineChars="200"/>
        <w:rPr>
          <w:rFonts w:ascii="楷体_GB2312" w:eastAsia="楷体_GB2312"/>
          <w:bCs w:val="0"/>
          <w:kern w:val="0"/>
          <w:szCs w:val="20"/>
        </w:rPr>
      </w:pPr>
      <w:bookmarkStart w:id="85" w:name="_Toc59151862"/>
      <w:bookmarkStart w:id="86" w:name="_Toc58739916"/>
      <w:bookmarkStart w:id="87" w:name="_Toc51886322"/>
      <w:bookmarkStart w:id="88" w:name="_Toc61205038"/>
      <w:r>
        <w:rPr>
          <w:rFonts w:hint="eastAsia" w:ascii="楷体_GB2312" w:eastAsia="楷体_GB2312"/>
          <w:bCs w:val="0"/>
          <w:kern w:val="0"/>
          <w:szCs w:val="20"/>
        </w:rPr>
        <w:t>（二）市场数字赋能工程</w:t>
      </w:r>
      <w:bookmarkEnd w:id="85"/>
      <w:bookmarkEnd w:id="86"/>
      <w:bookmarkEnd w:id="87"/>
      <w:bookmarkEnd w:id="88"/>
    </w:p>
    <w:p>
      <w:pPr>
        <w:ind w:firstLine="640" w:firstLineChars="200"/>
        <w:rPr>
          <w:rFonts w:ascii="仿宋" w:hAnsi="仿宋" w:eastAsia="仿宋"/>
          <w:sz w:val="32"/>
          <w:szCs w:val="32"/>
        </w:rPr>
      </w:pPr>
      <w:r>
        <w:rPr>
          <w:rFonts w:hint="eastAsia" w:ascii="仿宋" w:hAnsi="仿宋" w:eastAsia="仿宋"/>
          <w:sz w:val="32"/>
          <w:szCs w:val="32"/>
        </w:rPr>
        <w:t>顺应新一轮技术革命和产业革命发展趋势，加快推进模式赋能、平台赋能、主体赋能进程，提升市场数字化能力，助力线上线下市场高质量融合发展，推动义乌市场数字化转型和创新发展。</w:t>
      </w:r>
    </w:p>
    <w:p>
      <w:pPr>
        <w:ind w:firstLine="643" w:firstLineChars="200"/>
        <w:rPr>
          <w:rFonts w:ascii="仿宋" w:hAnsi="仿宋" w:eastAsia="仿宋"/>
          <w:sz w:val="32"/>
          <w:szCs w:val="32"/>
        </w:rPr>
      </w:pPr>
      <w:r>
        <w:rPr>
          <w:rFonts w:hint="eastAsia" w:ascii="仿宋" w:hAnsi="仿宋" w:eastAsia="仿宋"/>
          <w:b/>
          <w:sz w:val="32"/>
          <w:szCs w:val="32"/>
        </w:rPr>
        <w:t>一是加快实体市场数字化转型。</w:t>
      </w:r>
      <w:r>
        <w:rPr>
          <w:rFonts w:hint="eastAsia" w:ascii="仿宋" w:hAnsi="仿宋" w:eastAsia="仿宋"/>
          <w:sz w:val="32"/>
          <w:szCs w:val="32"/>
        </w:rPr>
        <w:t>着力推动Chinagoods贸易综合服务平台的数字供应链模式创新，积极争取数字贸易、数字货币试点，做实世界电子贸易平台（eWTP）在数据交互、业务互通、监管互认、服务共享等方面的国际合作及数字确权等贸易服务体系建设，实现全球上下游企业和贸易服务商的“一网统管”。</w:t>
      </w:r>
      <w:r>
        <w:rPr>
          <w:rFonts w:hint="eastAsia" w:ascii="仿宋" w:hAnsi="仿宋" w:eastAsia="仿宋"/>
          <w:b/>
          <w:sz w:val="32"/>
          <w:szCs w:val="32"/>
        </w:rPr>
        <w:t>二是积极推进市场与大型平台合作。</w:t>
      </w:r>
      <w:r>
        <w:rPr>
          <w:rFonts w:hint="eastAsia" w:ascii="仿宋" w:hAnsi="仿宋" w:eastAsia="仿宋"/>
          <w:sz w:val="32"/>
          <w:szCs w:val="32"/>
        </w:rPr>
        <w:t>持续深化与阿里巴巴、菜鸟网络、速卖通“质造家”、贝贝网、云采供应链等电商平台的积极合作，积极引进字节跳动（抖音）、快手科技、红豆角等新兴平台，持续推进网商平台与实体市场的联动发展和双向赋能。</w:t>
      </w:r>
      <w:r>
        <w:rPr>
          <w:rFonts w:hint="eastAsia" w:ascii="仿宋" w:hAnsi="仿宋" w:eastAsia="仿宋"/>
          <w:b/>
          <w:sz w:val="32"/>
          <w:szCs w:val="32"/>
        </w:rPr>
        <w:t>三是培育壮大数字市场新主体。</w:t>
      </w:r>
      <w:r>
        <w:rPr>
          <w:rFonts w:hint="eastAsia" w:ascii="仿宋" w:hAnsi="仿宋" w:eastAsia="仿宋"/>
          <w:sz w:val="32"/>
          <w:szCs w:val="32"/>
        </w:rPr>
        <w:t>实施“百行万户”行动，即服务细分行业100个以上，为200万中小微主体实现数字赋能，大力培育集聚各类电商主体，完善电商政策扶持体系，积极开展电商人才培训，推动电商企业品牌化、规范化发展；加快跨境电商园区优化和电子商务园区质量提升，实现电商产业持续高质量发展。</w:t>
      </w:r>
      <w:r>
        <w:rPr>
          <w:rFonts w:hint="eastAsia" w:ascii="仿宋" w:hAnsi="仿宋" w:eastAsia="仿宋"/>
          <w:b/>
          <w:sz w:val="32"/>
          <w:szCs w:val="32"/>
        </w:rPr>
        <w:t>四是高质量建设跨境电商综试区。</w:t>
      </w:r>
      <w:r>
        <w:rPr>
          <w:rFonts w:hint="eastAsia" w:ascii="仿宋" w:hAnsi="仿宋" w:eastAsia="仿宋"/>
          <w:sz w:val="32"/>
          <w:szCs w:val="32"/>
        </w:rPr>
        <w:t>加快推进跨境电子商务综合试验区建设，巩固和壮大9610、9710、9810、1210跨境电商试点成果，建设跨境电商线上综合服务平台，推进跨境电商零售出口企业所得税核定征收政策落地，争取更高水平、更大范围的跨境电商政策供给。实施“百仓万企”贸易节点项目，构建更加高效的跨境电商物流体系，即合作布局200个海外仓、境外站、海外分市场等境外展贸平台，服务10000家以上中小微企业跨境贸易。</w:t>
      </w:r>
    </w:p>
    <w:p>
      <w:pPr>
        <w:pStyle w:val="3"/>
        <w:spacing w:before="120" w:after="120" w:line="560" w:lineRule="exact"/>
        <w:ind w:firstLine="643" w:firstLineChars="200"/>
        <w:rPr>
          <w:rFonts w:ascii="楷体_GB2312" w:eastAsia="楷体_GB2312"/>
          <w:bCs w:val="0"/>
          <w:kern w:val="0"/>
          <w:szCs w:val="20"/>
        </w:rPr>
      </w:pPr>
      <w:bookmarkStart w:id="89" w:name="_Toc58739915"/>
      <w:bookmarkStart w:id="90" w:name="_Toc59151861"/>
      <w:bookmarkStart w:id="91" w:name="_Toc51886321"/>
      <w:bookmarkStart w:id="92" w:name="_Toc61205039"/>
      <w:r>
        <w:rPr>
          <w:rFonts w:hint="eastAsia" w:ascii="楷体_GB2312" w:eastAsia="楷体_GB2312"/>
          <w:bCs w:val="0"/>
          <w:kern w:val="0"/>
          <w:szCs w:val="20"/>
        </w:rPr>
        <w:t>（三）进口市场拓展工程</w:t>
      </w:r>
      <w:bookmarkEnd w:id="89"/>
      <w:bookmarkEnd w:id="90"/>
      <w:bookmarkEnd w:id="91"/>
      <w:bookmarkEnd w:id="92"/>
    </w:p>
    <w:p>
      <w:pPr>
        <w:ind w:firstLine="640" w:firstLineChars="200"/>
        <w:rPr>
          <w:rFonts w:ascii="仿宋" w:hAnsi="仿宋" w:eastAsia="仿宋"/>
          <w:sz w:val="32"/>
          <w:szCs w:val="32"/>
        </w:rPr>
      </w:pPr>
      <w:r>
        <w:rPr>
          <w:rFonts w:hint="eastAsia" w:ascii="仿宋" w:hAnsi="仿宋" w:eastAsia="仿宋"/>
          <w:sz w:val="32"/>
          <w:szCs w:val="32"/>
        </w:rPr>
        <w:t>高标准建设国家进口贸易促进创新示范区，围绕“贸易促进”和“贸易创新”两大功能定位，发挥义乌市场内外贸互促的作用，打造新型进口贸易高地。</w:t>
      </w:r>
    </w:p>
    <w:p>
      <w:pPr>
        <w:ind w:firstLine="643" w:firstLineChars="200"/>
        <w:rPr>
          <w:rFonts w:ascii="仿宋" w:hAnsi="仿宋" w:eastAsia="仿宋"/>
          <w:sz w:val="32"/>
          <w:szCs w:val="32"/>
        </w:rPr>
      </w:pPr>
      <w:r>
        <w:rPr>
          <w:rFonts w:hint="eastAsia" w:ascii="仿宋" w:hAnsi="仿宋" w:eastAsia="仿宋"/>
          <w:b/>
          <w:sz w:val="32"/>
          <w:szCs w:val="32"/>
        </w:rPr>
        <w:t>一是加快建设新型进口市场。</w:t>
      </w:r>
      <w:r>
        <w:rPr>
          <w:rFonts w:hint="eastAsia" w:ascii="仿宋" w:hAnsi="仿宋" w:eastAsia="仿宋"/>
          <w:sz w:val="32"/>
          <w:szCs w:val="32"/>
        </w:rPr>
        <w:t>实施进口倍增计划，“十四五”期间争取新增进口超千万主体</w:t>
      </w:r>
      <w:r>
        <w:rPr>
          <w:rFonts w:ascii="仿宋" w:hAnsi="仿宋" w:eastAsia="仿宋"/>
          <w:sz w:val="32"/>
          <w:szCs w:val="32"/>
        </w:rPr>
        <w:t>300</w:t>
      </w:r>
      <w:r>
        <w:rPr>
          <w:rFonts w:hint="eastAsia" w:ascii="仿宋" w:hAnsi="仿宋" w:eastAsia="仿宋"/>
          <w:sz w:val="32"/>
          <w:szCs w:val="32"/>
        </w:rPr>
        <w:t>家左右。加快“全牌照”指定口岸落地，建设全新功能和体验的新型进口市场，吸收跨境电商“</w:t>
      </w:r>
      <w:r>
        <w:rPr>
          <w:rFonts w:ascii="仿宋" w:hAnsi="仿宋" w:eastAsia="仿宋"/>
          <w:sz w:val="32"/>
          <w:szCs w:val="32"/>
        </w:rPr>
        <w:t>1210</w:t>
      </w:r>
      <w:r>
        <w:rPr>
          <w:rFonts w:hint="eastAsia" w:ascii="仿宋" w:hAnsi="仿宋" w:eastAsia="仿宋"/>
          <w:sz w:val="32"/>
          <w:szCs w:val="32"/>
        </w:rPr>
        <w:t>”创新模式，设立</w:t>
      </w:r>
      <w:r>
        <w:rPr>
          <w:rFonts w:ascii="仿宋" w:hAnsi="仿宋" w:eastAsia="仿宋"/>
          <w:sz w:val="32"/>
          <w:szCs w:val="32"/>
        </w:rPr>
        <w:t>100</w:t>
      </w:r>
      <w:r>
        <w:rPr>
          <w:rFonts w:hint="eastAsia" w:ascii="仿宋" w:hAnsi="仿宋" w:eastAsia="仿宋"/>
          <w:sz w:val="32"/>
          <w:szCs w:val="32"/>
        </w:rPr>
        <w:t>个示范带动强的特色馆、展示不同文化文明的国别馆，创新发展“保税</w:t>
      </w:r>
      <w:r>
        <w:rPr>
          <w:rFonts w:ascii="仿宋" w:hAnsi="仿宋" w:eastAsia="仿宋"/>
          <w:sz w:val="32"/>
          <w:szCs w:val="32"/>
        </w:rPr>
        <w:t>+</w:t>
      </w:r>
      <w:r>
        <w:rPr>
          <w:rFonts w:hint="eastAsia" w:ascii="仿宋" w:hAnsi="仿宋" w:eastAsia="仿宋"/>
          <w:sz w:val="32"/>
          <w:szCs w:val="32"/>
        </w:rPr>
        <w:t>”展贸、跨境</w:t>
      </w:r>
      <w:r>
        <w:rPr>
          <w:rFonts w:ascii="仿宋" w:hAnsi="仿宋" w:eastAsia="仿宋"/>
          <w:sz w:val="32"/>
          <w:szCs w:val="32"/>
        </w:rPr>
        <w:t>O2O</w:t>
      </w:r>
      <w:r>
        <w:rPr>
          <w:rFonts w:hint="eastAsia" w:ascii="仿宋" w:hAnsi="仿宋" w:eastAsia="仿宋"/>
          <w:sz w:val="32"/>
          <w:szCs w:val="32"/>
        </w:rPr>
        <w:t>现场自提等业态，打造千亿级进口日用品展贸平台，成为展示世界各国超15万种优质商品的窗口和分销中心。</w:t>
      </w:r>
      <w:r>
        <w:rPr>
          <w:rFonts w:hint="eastAsia" w:ascii="仿宋" w:hAnsi="仿宋" w:eastAsia="仿宋"/>
          <w:b/>
          <w:sz w:val="32"/>
          <w:szCs w:val="32"/>
        </w:rPr>
        <w:t>二是打造海外集货平台。</w:t>
      </w:r>
      <w:r>
        <w:rPr>
          <w:rFonts w:hint="eastAsia" w:ascii="仿宋" w:hAnsi="仿宋" w:eastAsia="仿宋"/>
          <w:sz w:val="32"/>
          <w:szCs w:val="32"/>
        </w:rPr>
        <w:t>优化建设“带你到中国”海外展厅，发挥境外进口贸易服务中心功能，为进口企业提供物流、仓储、分销、金融等商务服务，建立海外企业和商品供应数据库平台，为国内进口贸易主体提供信息对接、海外接洽、商务谈判、信用担保等服务，为国外企业提供品牌代理、渠道对接、营销管理等服务，打造海外集货平台。</w:t>
      </w:r>
      <w:r>
        <w:rPr>
          <w:rFonts w:hint="eastAsia" w:ascii="仿宋" w:hAnsi="仿宋" w:eastAsia="仿宋"/>
          <w:b/>
          <w:sz w:val="32"/>
          <w:szCs w:val="32"/>
        </w:rPr>
        <w:t>三是拓展进口分销网络。</w:t>
      </w:r>
      <w:r>
        <w:rPr>
          <w:rFonts w:hint="eastAsia" w:ascii="仿宋" w:hAnsi="仿宋" w:eastAsia="仿宋"/>
          <w:sz w:val="32"/>
          <w:szCs w:val="32"/>
        </w:rPr>
        <w:t>以</w:t>
      </w:r>
      <w:r>
        <w:rPr>
          <w:rFonts w:ascii="仿宋" w:hAnsi="仿宋" w:eastAsia="仿宋"/>
          <w:sz w:val="32"/>
          <w:szCs w:val="32"/>
        </w:rPr>
        <w:t>ICMALL</w:t>
      </w:r>
      <w:r>
        <w:rPr>
          <w:rFonts w:hint="eastAsia" w:ascii="仿宋" w:hAnsi="仿宋" w:eastAsia="仿宋"/>
          <w:sz w:val="32"/>
          <w:szCs w:val="32"/>
        </w:rPr>
        <w:t>“爱喜猫”自主进口品牌为核心，整合义乌市场海量进口商品资源，不断丰富自主进口产品，完善品牌服务，以品牌授权、业务对接、渠道共享等多种形式，破解出口转内销商品面临的内贸市场平等销售地位问题，解决企业出口与内销过程中的行政限制和税收差异，加快“代购”、“海淘”、“跨境购”等外溢消费回流，链接进口商品核心供应商与终端零售商，布局分销网点10000家以上，建立进口商品自营+合作分销的体系，形成覆盖全国的进口商品分销网络。</w:t>
      </w:r>
      <w:r>
        <w:rPr>
          <w:rFonts w:hint="eastAsia" w:ascii="仿宋" w:hAnsi="仿宋" w:eastAsia="仿宋"/>
          <w:b/>
          <w:sz w:val="32"/>
          <w:szCs w:val="32"/>
        </w:rPr>
        <w:t>四是完善商品服务体系。</w:t>
      </w:r>
      <w:r>
        <w:rPr>
          <w:rFonts w:hint="eastAsia" w:ascii="仿宋" w:hAnsi="仿宋" w:eastAsia="仿宋"/>
          <w:sz w:val="32"/>
          <w:szCs w:val="32"/>
        </w:rPr>
        <w:t>建设数据共用、渠道互通、监管互认、服务共享的进口商品大数据服务平台，引进符合国际公认标准的进口商品质量检测体系，形成完善的进口商品售后服务标准，免除国内消费者对进口商品在物流、退（换）货、索赔、诉讼等方面的担忧，积极运用互联网和信息化手段，构建进口经营企业服务质量动态监管机制和信息化监管平台，打造国内一流的进口商品一级集散中心。</w:t>
      </w:r>
    </w:p>
    <w:p>
      <w:pPr>
        <w:pStyle w:val="3"/>
        <w:spacing w:before="120" w:after="120" w:line="560" w:lineRule="exact"/>
        <w:ind w:firstLine="643" w:firstLineChars="200"/>
        <w:rPr>
          <w:rFonts w:ascii="楷体_GB2312" w:eastAsia="楷体_GB2312"/>
          <w:bCs w:val="0"/>
          <w:kern w:val="0"/>
          <w:szCs w:val="20"/>
          <w:lang w:val="en-US"/>
        </w:rPr>
      </w:pPr>
      <w:bookmarkStart w:id="93" w:name="_Toc61205040"/>
      <w:r>
        <w:rPr>
          <w:rFonts w:hint="eastAsia" w:ascii="楷体_GB2312" w:eastAsia="楷体_GB2312"/>
          <w:bCs w:val="0"/>
          <w:kern w:val="0"/>
          <w:szCs w:val="20"/>
          <w:lang w:val="en-US"/>
        </w:rPr>
        <w:t>（</w:t>
      </w:r>
      <w:r>
        <w:rPr>
          <w:rFonts w:hint="eastAsia" w:ascii="楷体_GB2312" w:eastAsia="楷体_GB2312"/>
          <w:bCs w:val="0"/>
          <w:kern w:val="0"/>
          <w:szCs w:val="20"/>
        </w:rPr>
        <w:t>四</w:t>
      </w:r>
      <w:r>
        <w:rPr>
          <w:rFonts w:hint="eastAsia" w:ascii="楷体_GB2312" w:eastAsia="楷体_GB2312"/>
          <w:bCs w:val="0"/>
          <w:kern w:val="0"/>
          <w:szCs w:val="20"/>
          <w:lang w:val="en-US"/>
        </w:rPr>
        <w:t>）“</w:t>
      </w:r>
      <w:r>
        <w:rPr>
          <w:rFonts w:hint="eastAsia" w:ascii="楷体_GB2312" w:eastAsia="楷体_GB2312"/>
          <w:bCs w:val="0"/>
          <w:kern w:val="0"/>
          <w:szCs w:val="20"/>
        </w:rPr>
        <w:t>走出去</w:t>
      </w:r>
      <w:r>
        <w:rPr>
          <w:rFonts w:hint="eastAsia" w:ascii="楷体_GB2312" w:eastAsia="楷体_GB2312"/>
          <w:bCs w:val="0"/>
          <w:kern w:val="0"/>
          <w:szCs w:val="20"/>
          <w:lang w:val="en-US"/>
        </w:rPr>
        <w:t>”</w:t>
      </w:r>
      <w:r>
        <w:rPr>
          <w:rFonts w:hint="eastAsia" w:ascii="楷体_GB2312" w:eastAsia="楷体_GB2312"/>
          <w:bCs w:val="0"/>
          <w:kern w:val="0"/>
          <w:szCs w:val="20"/>
        </w:rPr>
        <w:t>拓市工程</w:t>
      </w:r>
      <w:bookmarkEnd w:id="93"/>
    </w:p>
    <w:p>
      <w:pPr>
        <w:ind w:firstLine="640" w:firstLineChars="200"/>
        <w:rPr>
          <w:rFonts w:ascii="仿宋" w:hAnsi="仿宋" w:eastAsia="仿宋"/>
          <w:sz w:val="32"/>
          <w:szCs w:val="32"/>
        </w:rPr>
      </w:pPr>
      <w:r>
        <w:rPr>
          <w:rFonts w:hint="eastAsia" w:ascii="仿宋" w:hAnsi="仿宋" w:eastAsia="仿宋"/>
          <w:sz w:val="32"/>
          <w:szCs w:val="32"/>
        </w:rPr>
        <w:t>高质量推进义乌市场“走向国际”“走向国内”，优化义乌市场内外贸结构，破解市场空间发展瓶颈，扩大市场辐射范围、提升市场发展能级。</w:t>
      </w:r>
    </w:p>
    <w:p>
      <w:pPr>
        <w:ind w:firstLine="643" w:firstLineChars="200"/>
        <w:rPr>
          <w:rFonts w:ascii="仿宋" w:hAnsi="仿宋" w:eastAsia="仿宋"/>
          <w:sz w:val="32"/>
          <w:szCs w:val="32"/>
        </w:rPr>
      </w:pPr>
      <w:r>
        <w:rPr>
          <w:rFonts w:hint="eastAsia" w:ascii="仿宋" w:hAnsi="仿宋" w:eastAsia="仿宋"/>
          <w:b/>
          <w:bCs/>
          <w:sz w:val="32"/>
          <w:szCs w:val="32"/>
        </w:rPr>
        <w:t>一是实施“百场万店”行动。</w:t>
      </w:r>
      <w:r>
        <w:rPr>
          <w:rFonts w:hint="eastAsia" w:ascii="仿宋" w:hAnsi="仿宋" w:eastAsia="仿宋"/>
          <w:sz w:val="32"/>
          <w:szCs w:val="32"/>
        </w:rPr>
        <w:t>发挥“义乌中国小商品城”品牌优势，加强与全国近200个商品市场开展多形式合作，布局10万家以上分销网点，带动7.5万商户以多种方式对接国内市场，拓展国内二级市场布局，形成内贸义乌市场网。</w:t>
      </w:r>
      <w:r>
        <w:rPr>
          <w:rFonts w:hint="eastAsia" w:ascii="仿宋" w:hAnsi="仿宋" w:eastAsia="仿宋"/>
          <w:b/>
          <w:bCs/>
          <w:sz w:val="32"/>
          <w:szCs w:val="32"/>
        </w:rPr>
        <w:t>二是实施进口分销网络拓展行动。</w:t>
      </w:r>
      <w:r>
        <w:rPr>
          <w:rFonts w:hint="eastAsia" w:ascii="仿宋" w:hAnsi="仿宋" w:eastAsia="仿宋"/>
          <w:sz w:val="32"/>
          <w:szCs w:val="32"/>
        </w:rPr>
        <w:t>以ICMALL“爱喜猫”自主进口品牌为核心，整合义乌市场海量进口商品资源，不断丰富自主进口产品，链接进口商品核心供应商与终端零售商，布局分销网点10000家以上，建立进口商品自营+合作分销的体系，形成覆盖全国的进口商品分销网络。</w:t>
      </w:r>
      <w:r>
        <w:rPr>
          <w:rFonts w:hint="eastAsia" w:ascii="仿宋" w:hAnsi="仿宋" w:eastAsia="仿宋"/>
          <w:b/>
          <w:bCs/>
          <w:sz w:val="32"/>
          <w:szCs w:val="32"/>
        </w:rPr>
        <w:t>三是实施“百仓万企”贸易节点项目。</w:t>
      </w:r>
      <w:r>
        <w:rPr>
          <w:rFonts w:hint="eastAsia" w:ascii="仿宋" w:hAnsi="仿宋" w:eastAsia="仿宋"/>
          <w:sz w:val="32"/>
          <w:szCs w:val="32"/>
        </w:rPr>
        <w:t>构建更加高效的跨境电商物流体系，即合作布局200个海外仓、境外站、海外分市场等境外展贸平台，服务10000家以上中小微企业跨境贸易。</w:t>
      </w:r>
      <w:r>
        <w:rPr>
          <w:rFonts w:hint="eastAsia" w:ascii="仿宋" w:hAnsi="仿宋" w:eastAsia="仿宋"/>
          <w:b/>
          <w:bCs/>
          <w:sz w:val="32"/>
          <w:szCs w:val="32"/>
        </w:rPr>
        <w:t>四是打造海外集货平台。</w:t>
      </w:r>
      <w:r>
        <w:rPr>
          <w:rFonts w:hint="eastAsia" w:ascii="仿宋" w:hAnsi="仿宋" w:eastAsia="仿宋"/>
          <w:sz w:val="32"/>
          <w:szCs w:val="32"/>
        </w:rPr>
        <w:t>优化建设“带你到中国”海外展厅，发挥境外进口贸易服务中心功能，为进口企业提供物流、仓储、分销、金融等商务服务，建立海外企业和商品供应数据库平台，为国内进口贸易主体提供信息对接、海外接洽、商务谈判、信用担保等服务，为国外企业提供品牌代理、渠道对接、营销管理等服务，打造海外集货平台。</w:t>
      </w:r>
      <w:bookmarkStart w:id="94" w:name="_Toc51886333"/>
      <w:bookmarkEnd w:id="94"/>
    </w:p>
    <w:p>
      <w:pPr>
        <w:pStyle w:val="3"/>
        <w:spacing w:before="120" w:after="120" w:line="560" w:lineRule="exact"/>
        <w:ind w:firstLine="643" w:firstLineChars="200"/>
        <w:rPr>
          <w:rFonts w:ascii="楷体_GB2312" w:eastAsia="楷体_GB2312"/>
          <w:bCs w:val="0"/>
          <w:kern w:val="0"/>
          <w:szCs w:val="20"/>
        </w:rPr>
      </w:pPr>
      <w:bookmarkStart w:id="95" w:name="_Toc61205041"/>
      <w:bookmarkStart w:id="96" w:name="_Toc59151866"/>
      <w:bookmarkStart w:id="97" w:name="_Toc51886327"/>
      <w:bookmarkStart w:id="98" w:name="_Toc58739920"/>
      <w:r>
        <w:rPr>
          <w:rFonts w:hint="eastAsia" w:ascii="楷体_GB2312" w:eastAsia="楷体_GB2312"/>
          <w:bCs w:val="0"/>
          <w:kern w:val="0"/>
          <w:szCs w:val="20"/>
        </w:rPr>
        <w:t>（五）</w:t>
      </w:r>
      <w:r>
        <w:rPr>
          <w:rFonts w:ascii="楷体_GB2312" w:eastAsia="楷体_GB2312"/>
          <w:bCs w:val="0"/>
          <w:kern w:val="0"/>
          <w:szCs w:val="20"/>
        </w:rPr>
        <w:t>民生市场精细化工程</w:t>
      </w:r>
      <w:bookmarkEnd w:id="95"/>
    </w:p>
    <w:p>
      <w:pPr>
        <w:adjustRightInd w:val="0"/>
        <w:ind w:firstLine="640" w:firstLineChars="200"/>
        <w:rPr>
          <w:rFonts w:ascii="仿宋" w:hAnsi="仿宋" w:eastAsia="仿宋"/>
          <w:sz w:val="32"/>
          <w:szCs w:val="32"/>
        </w:rPr>
      </w:pPr>
      <w:r>
        <w:rPr>
          <w:rFonts w:hint="eastAsia" w:ascii="仿宋" w:hAnsi="仿宋" w:eastAsia="仿宋"/>
          <w:sz w:val="32"/>
          <w:szCs w:val="32"/>
        </w:rPr>
        <w:t>紧紧围绕300万人口现代化都市框架的规划要求，科学谋划民生市场功能定位和业态布局，不断提升市场运营管理水平和业务拓展能力，重构人、货、场，既要适度提升民生市场发展规模，又要将民生市场做精做细，</w:t>
      </w:r>
      <w:r>
        <w:rPr>
          <w:rFonts w:hint="eastAsia" w:ascii="仿宋" w:hAnsi="仿宋" w:eastAsia="仿宋" w:cs="仿宋"/>
          <w:sz w:val="32"/>
          <w:szCs w:val="32"/>
        </w:rPr>
        <w:t>不仅满足义乌本地、周边及未来消费需求，</w:t>
      </w:r>
      <w:r>
        <w:rPr>
          <w:rFonts w:hint="eastAsia" w:ascii="仿宋" w:hAnsi="仿宋" w:eastAsia="仿宋" w:cs="仿宋"/>
          <w:bCs/>
          <w:sz w:val="32"/>
          <w:szCs w:val="32"/>
        </w:rPr>
        <w:t>又能担负起在重大公共安全事件面前的应急保障责任。</w:t>
      </w:r>
    </w:p>
    <w:p>
      <w:pPr>
        <w:adjustRightInd w:val="0"/>
        <w:ind w:firstLine="643" w:firstLineChars="200"/>
        <w:rPr>
          <w:rFonts w:ascii="仿宋" w:hAnsi="仿宋" w:eastAsia="仿宋"/>
          <w:sz w:val="32"/>
          <w:szCs w:val="32"/>
        </w:rPr>
      </w:pPr>
      <w:r>
        <w:rPr>
          <w:rFonts w:hint="eastAsia" w:ascii="仿宋" w:hAnsi="仿宋" w:eastAsia="仿宋"/>
          <w:b/>
          <w:sz w:val="32"/>
          <w:szCs w:val="32"/>
        </w:rPr>
        <w:t>一是科学推进市场空间及设施改造提升。</w:t>
      </w:r>
      <w:r>
        <w:rPr>
          <w:rFonts w:hint="eastAsia" w:ascii="仿宋" w:hAnsi="仿宋" w:eastAsia="仿宋"/>
          <w:sz w:val="32"/>
          <w:szCs w:val="32"/>
        </w:rPr>
        <w:t>科学谋划</w:t>
      </w:r>
      <w:r>
        <w:rPr>
          <w:rFonts w:hint="eastAsia" w:ascii="仿宋" w:hAnsi="仿宋" w:eastAsia="仿宋" w:cs="仿宋"/>
          <w:sz w:val="32"/>
          <w:szCs w:val="32"/>
        </w:rPr>
        <w:t>农产品、泛家居、汽车、模具、冷鲜等</w:t>
      </w:r>
      <w:r>
        <w:rPr>
          <w:rFonts w:hint="eastAsia" w:ascii="仿宋" w:hAnsi="仿宋" w:eastAsia="仿宋"/>
          <w:sz w:val="32"/>
          <w:szCs w:val="32"/>
        </w:rPr>
        <w:t>民生市场板块的功能定位和业态布局，合理安排涉及搬迁、改扩建及新建项目的建设时序，加快推进全市民生类市场的统筹与协调。</w:t>
      </w:r>
      <w:r>
        <w:rPr>
          <w:rFonts w:hint="eastAsia" w:ascii="仿宋" w:hAnsi="仿宋" w:eastAsia="仿宋"/>
          <w:b/>
          <w:sz w:val="32"/>
          <w:szCs w:val="32"/>
        </w:rPr>
        <w:t>二是全面推行商位资源要素市场化改革。</w:t>
      </w:r>
      <w:r>
        <w:rPr>
          <w:rFonts w:hint="eastAsia" w:ascii="仿宋" w:hAnsi="仿宋" w:eastAsia="仿宋"/>
          <w:bCs/>
          <w:sz w:val="32"/>
          <w:szCs w:val="32"/>
        </w:rPr>
        <w:t>总结商位资源要素市场化改革试点区域的成功经验，</w:t>
      </w:r>
      <w:r>
        <w:rPr>
          <w:rFonts w:hint="eastAsia" w:ascii="仿宋" w:hAnsi="仿宋" w:eastAsia="仿宋" w:cs="仿宋_GB2312"/>
          <w:sz w:val="32"/>
          <w:szCs w:val="32"/>
        </w:rPr>
        <w:t>制定完善的</w:t>
      </w:r>
      <w:r>
        <w:rPr>
          <w:rFonts w:hint="eastAsia" w:ascii="仿宋" w:hAnsi="仿宋" w:eastAsia="仿宋"/>
          <w:sz w:val="32"/>
          <w:szCs w:val="32"/>
        </w:rPr>
        <w:t>改革评价体系、</w:t>
      </w:r>
      <w:r>
        <w:rPr>
          <w:rFonts w:hint="eastAsia" w:ascii="仿宋" w:hAnsi="仿宋" w:eastAsia="仿宋" w:cs="仿宋_GB2312"/>
          <w:sz w:val="32"/>
          <w:szCs w:val="32"/>
        </w:rPr>
        <w:t>差异化配置机制、激励和倒逼机制，</w:t>
      </w:r>
      <w:r>
        <w:rPr>
          <w:rFonts w:hint="eastAsia" w:ascii="仿宋" w:hAnsi="仿宋" w:eastAsia="仿宋"/>
          <w:sz w:val="32"/>
          <w:szCs w:val="32"/>
        </w:rPr>
        <w:t>各民生</w:t>
      </w:r>
      <w:r>
        <w:rPr>
          <w:rFonts w:hint="eastAsia" w:ascii="仿宋" w:hAnsi="仿宋" w:eastAsia="仿宋" w:cs="仿宋_GB2312"/>
          <w:sz w:val="32"/>
          <w:szCs w:val="32"/>
        </w:rPr>
        <w:t>市场排定改革实施时间表，</w:t>
      </w:r>
      <w:r>
        <w:rPr>
          <w:rFonts w:hint="eastAsia" w:ascii="仿宋" w:hAnsi="仿宋" w:eastAsia="仿宋"/>
          <w:bCs/>
          <w:sz w:val="32"/>
          <w:szCs w:val="32"/>
        </w:rPr>
        <w:t>全面推行商位资源要素市场化改革。</w:t>
      </w:r>
      <w:r>
        <w:rPr>
          <w:rFonts w:hint="eastAsia" w:ascii="仿宋" w:hAnsi="仿宋" w:eastAsia="仿宋"/>
          <w:b/>
          <w:sz w:val="32"/>
          <w:szCs w:val="32"/>
        </w:rPr>
        <w:t>三是积极开展奔跑招商。</w:t>
      </w:r>
      <w:r>
        <w:rPr>
          <w:rFonts w:hint="eastAsia" w:ascii="仿宋" w:hAnsi="仿宋" w:eastAsia="仿宋"/>
          <w:sz w:val="32"/>
          <w:szCs w:val="32"/>
        </w:rPr>
        <w:t>积极开展奔跑招商、招大引强。抽调市场精干力量，落实招商专班制度，制订周密的招商实施方案，紧盯龙头商户，提前锁定意向客户，实现定向承接、个性服务。灵活运用专业招商、基金招商、展会招商、专家招商、以商招商等模式，提升招商实效，为民生市场注入更多“新鲜血液”。</w:t>
      </w:r>
      <w:r>
        <w:rPr>
          <w:rFonts w:hint="eastAsia" w:ascii="仿宋" w:hAnsi="仿宋" w:eastAsia="仿宋"/>
          <w:b/>
          <w:sz w:val="32"/>
          <w:szCs w:val="32"/>
        </w:rPr>
        <w:t>四是提升整体运营水平。</w:t>
      </w:r>
      <w:r>
        <w:rPr>
          <w:rFonts w:hint="eastAsia" w:ascii="仿宋" w:hAnsi="仿宋" w:eastAsia="仿宋"/>
          <w:sz w:val="32"/>
          <w:szCs w:val="32"/>
        </w:rPr>
        <w:t>围绕民生市场精细化发展目标，统筹推进“五个统一”，即统一制度、统一管理、统一平台、统一服务、统一标准，全力打造民生市场“升级版”，争创一批省四星级、五星级民生市场。加快建设智慧化市场平台，打造集成“互联网+”的“智慧型市场”，推动民生市场高质量发展。</w:t>
      </w:r>
    </w:p>
    <w:p>
      <w:pPr>
        <w:pStyle w:val="3"/>
        <w:spacing w:before="120" w:after="120" w:line="560" w:lineRule="exact"/>
        <w:ind w:firstLine="643" w:firstLineChars="200"/>
        <w:rPr>
          <w:rFonts w:ascii="楷体_GB2312" w:eastAsia="楷体_GB2312"/>
          <w:bCs w:val="0"/>
          <w:kern w:val="0"/>
          <w:szCs w:val="20"/>
        </w:rPr>
      </w:pPr>
      <w:bookmarkStart w:id="99" w:name="_Toc61205042"/>
      <w:r>
        <w:rPr>
          <w:rFonts w:hint="eastAsia" w:ascii="楷体_GB2312" w:eastAsia="楷体_GB2312"/>
          <w:bCs w:val="0"/>
          <w:kern w:val="0"/>
          <w:szCs w:val="20"/>
        </w:rPr>
        <w:t>（六）</w:t>
      </w:r>
      <w:r>
        <w:rPr>
          <w:rFonts w:ascii="楷体_GB2312" w:eastAsia="楷体_GB2312"/>
          <w:bCs w:val="0"/>
          <w:kern w:val="0"/>
          <w:szCs w:val="20"/>
        </w:rPr>
        <w:t>经营主体</w:t>
      </w:r>
      <w:r>
        <w:rPr>
          <w:rFonts w:hint="eastAsia" w:ascii="楷体_GB2312" w:eastAsia="楷体_GB2312"/>
          <w:bCs w:val="0"/>
          <w:kern w:val="0"/>
          <w:szCs w:val="20"/>
        </w:rPr>
        <w:t>竞争力</w:t>
      </w:r>
      <w:r>
        <w:rPr>
          <w:rFonts w:ascii="楷体_GB2312" w:eastAsia="楷体_GB2312"/>
          <w:bCs w:val="0"/>
          <w:kern w:val="0"/>
          <w:szCs w:val="20"/>
        </w:rPr>
        <w:t>提升工程</w:t>
      </w:r>
      <w:bookmarkEnd w:id="99"/>
    </w:p>
    <w:p>
      <w:pPr>
        <w:ind w:firstLine="640" w:firstLineChars="200"/>
        <w:rPr>
          <w:rFonts w:ascii="仿宋" w:hAnsi="仿宋" w:eastAsia="仿宋"/>
          <w:sz w:val="32"/>
          <w:szCs w:val="32"/>
        </w:rPr>
      </w:pPr>
      <w:r>
        <w:rPr>
          <w:rFonts w:hint="eastAsia" w:ascii="仿宋" w:hAnsi="仿宋" w:eastAsia="仿宋"/>
          <w:sz w:val="32"/>
          <w:szCs w:val="32"/>
        </w:rPr>
        <w:t>通过</w:t>
      </w:r>
      <w:r>
        <w:rPr>
          <w:rFonts w:hint="eastAsia" w:ascii="仿宋" w:hAnsi="仿宋" w:eastAsia="仿宋"/>
          <w:bCs/>
          <w:sz w:val="32"/>
          <w:szCs w:val="32"/>
        </w:rPr>
        <w:t>商位资源要素市场化改革，倒逼</w:t>
      </w:r>
      <w:r>
        <w:rPr>
          <w:rFonts w:hint="eastAsia" w:ascii="仿宋" w:hAnsi="仿宋" w:eastAsia="仿宋"/>
          <w:sz w:val="32"/>
          <w:szCs w:val="32"/>
        </w:rPr>
        <w:t>市场经营主体自我提升，引进优秀新主体进入市场，增强市场经营主体的</w:t>
      </w:r>
      <w:r>
        <w:rPr>
          <w:rFonts w:hint="eastAsia" w:ascii="仿宋" w:hAnsi="仿宋" w:eastAsia="仿宋"/>
          <w:spacing w:val="15"/>
          <w:sz w:val="32"/>
          <w:szCs w:val="32"/>
        </w:rPr>
        <w:t>提质创牌意识，帮助</w:t>
      </w:r>
      <w:r>
        <w:rPr>
          <w:rFonts w:hint="eastAsia" w:ascii="仿宋" w:hAnsi="仿宋" w:eastAsia="仿宋"/>
          <w:sz w:val="32"/>
          <w:szCs w:val="32"/>
        </w:rPr>
        <w:t>市场经营主体</w:t>
      </w:r>
      <w:r>
        <w:rPr>
          <w:rFonts w:hint="eastAsia" w:ascii="仿宋" w:hAnsi="仿宋" w:eastAsia="仿宋"/>
          <w:spacing w:val="15"/>
          <w:sz w:val="32"/>
          <w:szCs w:val="32"/>
        </w:rPr>
        <w:t>拓展销售渠道、掌握销售技能，</w:t>
      </w:r>
      <w:r>
        <w:rPr>
          <w:rFonts w:hint="eastAsia" w:ascii="仿宋" w:hAnsi="仿宋" w:eastAsia="仿宋"/>
          <w:sz w:val="32"/>
          <w:szCs w:val="32"/>
        </w:rPr>
        <w:t>全面提升市场经营主体的综合竞争力。</w:t>
      </w:r>
    </w:p>
    <w:p>
      <w:pPr>
        <w:ind w:firstLine="707" w:firstLineChars="220"/>
        <w:rPr>
          <w:rFonts w:ascii="仿宋" w:hAnsi="仿宋" w:eastAsia="仿宋"/>
          <w:sz w:val="32"/>
          <w:szCs w:val="32"/>
        </w:rPr>
      </w:pPr>
      <w:r>
        <w:rPr>
          <w:rFonts w:hint="eastAsia" w:ascii="仿宋" w:hAnsi="仿宋" w:eastAsia="仿宋"/>
          <w:b/>
          <w:bCs/>
          <w:sz w:val="32"/>
          <w:szCs w:val="32"/>
        </w:rPr>
        <w:t>一是增强经营主体“市场”意识。</w:t>
      </w:r>
      <w:r>
        <w:rPr>
          <w:rFonts w:hint="eastAsia" w:ascii="仿宋" w:hAnsi="仿宋" w:eastAsia="仿宋"/>
          <w:bCs/>
          <w:sz w:val="32"/>
          <w:szCs w:val="32"/>
        </w:rPr>
        <w:t>通过商位资源要素市场化改革，</w:t>
      </w:r>
      <w:r>
        <w:rPr>
          <w:rFonts w:hint="eastAsia" w:ascii="仿宋" w:hAnsi="仿宋" w:eastAsia="仿宋" w:cs="Times New Roman"/>
          <w:sz w:val="32"/>
          <w:szCs w:val="32"/>
        </w:rPr>
        <w:t>形成对市场商位使用权人的激励和倒逼机制。</w:t>
      </w:r>
      <w:r>
        <w:rPr>
          <w:rFonts w:hint="eastAsia" w:ascii="仿宋" w:hAnsi="仿宋" w:eastAsia="仿宋"/>
          <w:sz w:val="32"/>
          <w:szCs w:val="32"/>
        </w:rPr>
        <w:t>持续推进“标准进市场”行动，通过“亮标、对标、提标、宣标”等工作，促进市场经营主体用“高标准”保证商品“高质量”。围绕“百院万创”行动目标，以“设计进市场”活动为载体，促进市场经营主体与高校碰撞出设计火花，</w:t>
      </w:r>
      <w:r>
        <w:rPr>
          <w:rFonts w:hint="eastAsia" w:ascii="仿宋" w:hAnsi="仿宋" w:eastAsia="仿宋"/>
          <w:spacing w:val="15"/>
          <w:sz w:val="32"/>
          <w:szCs w:val="32"/>
        </w:rPr>
        <w:t>助力市场提质创牌，打造小商品创新策源地。通过一系列行动，帮助</w:t>
      </w:r>
      <w:r>
        <w:rPr>
          <w:rFonts w:hint="eastAsia" w:ascii="仿宋" w:hAnsi="仿宋" w:eastAsia="仿宋"/>
          <w:sz w:val="32"/>
          <w:szCs w:val="32"/>
        </w:rPr>
        <w:t>市场经营主体提升品牌、品质和高质量发展意识。</w:t>
      </w:r>
      <w:r>
        <w:rPr>
          <w:rFonts w:hint="eastAsia" w:ascii="仿宋" w:hAnsi="仿宋" w:eastAsia="仿宋"/>
          <w:b/>
          <w:bCs/>
          <w:sz w:val="32"/>
          <w:szCs w:val="32"/>
        </w:rPr>
        <w:t>二开展专题培训。</w:t>
      </w:r>
      <w:r>
        <w:rPr>
          <w:rFonts w:hint="eastAsia" w:ascii="仿宋" w:hAnsi="仿宋" w:eastAsia="仿宋"/>
          <w:sz w:val="32"/>
          <w:szCs w:val="32"/>
        </w:rPr>
        <w:t>围绕</w:t>
      </w:r>
      <w:r>
        <w:rPr>
          <w:rFonts w:hint="eastAsia" w:ascii="仿宋" w:hAnsi="仿宋" w:eastAsia="仿宋"/>
          <w:spacing w:val="15"/>
          <w:sz w:val="32"/>
          <w:szCs w:val="32"/>
        </w:rPr>
        <w:t>跨境电商发展机遇，以亚马逊、</w:t>
      </w:r>
      <w:r>
        <w:rPr>
          <w:rFonts w:ascii="仿宋" w:hAnsi="仿宋" w:eastAsia="仿宋" w:cs="Arial"/>
          <w:sz w:val="32"/>
          <w:szCs w:val="32"/>
          <w:shd w:val="clear" w:color="auto" w:fill="FFFFFF"/>
        </w:rPr>
        <w:t>wish</w:t>
      </w:r>
      <w:r>
        <w:rPr>
          <w:rFonts w:hint="eastAsia" w:ascii="仿宋" w:hAnsi="仿宋" w:eastAsia="仿宋" w:cs="Arial"/>
          <w:sz w:val="32"/>
          <w:szCs w:val="32"/>
          <w:shd w:val="clear" w:color="auto" w:fill="FFFFFF"/>
        </w:rPr>
        <w:t>、</w:t>
      </w:r>
      <w:r>
        <w:rPr>
          <w:rFonts w:ascii="仿宋" w:hAnsi="仿宋" w:eastAsia="仿宋" w:cs="Arial"/>
          <w:sz w:val="32"/>
          <w:szCs w:val="32"/>
          <w:shd w:val="clear" w:color="auto" w:fill="FFFFFF"/>
        </w:rPr>
        <w:t>eBay</w:t>
      </w:r>
      <w:r>
        <w:rPr>
          <w:rFonts w:hint="eastAsia" w:ascii="仿宋" w:hAnsi="仿宋" w:eastAsia="仿宋"/>
          <w:sz w:val="32"/>
          <w:szCs w:val="32"/>
        </w:rPr>
        <w:t>、</w:t>
      </w:r>
      <w:r>
        <w:rPr>
          <w:rFonts w:hint="eastAsia" w:ascii="仿宋" w:hAnsi="仿宋" w:eastAsia="仿宋"/>
          <w:spacing w:val="15"/>
          <w:sz w:val="32"/>
          <w:szCs w:val="32"/>
        </w:rPr>
        <w:t>速卖通等平台的应用为基础，实行贴近义乌市场需求的跨境电商培训，提升</w:t>
      </w:r>
      <w:r>
        <w:rPr>
          <w:rFonts w:hint="eastAsia" w:ascii="仿宋" w:hAnsi="仿宋" w:eastAsia="仿宋"/>
          <w:sz w:val="32"/>
          <w:szCs w:val="32"/>
        </w:rPr>
        <w:t>市场经营主体外贸经营能力</w:t>
      </w:r>
      <w:r>
        <w:rPr>
          <w:rFonts w:hint="eastAsia" w:ascii="仿宋" w:hAnsi="仿宋" w:eastAsia="仿宋"/>
          <w:spacing w:val="15"/>
          <w:sz w:val="32"/>
          <w:szCs w:val="32"/>
        </w:rPr>
        <w:t>。抢抓直播经济高速发展带来的红利，提供电商直播、短视频拍摄及制作等专业培训，帮助</w:t>
      </w:r>
      <w:r>
        <w:rPr>
          <w:rFonts w:hint="eastAsia" w:ascii="仿宋" w:hAnsi="仿宋" w:eastAsia="仿宋"/>
          <w:sz w:val="32"/>
          <w:szCs w:val="32"/>
        </w:rPr>
        <w:t>市场经营主体打开直播销售通道。</w:t>
      </w:r>
      <w:r>
        <w:rPr>
          <w:rFonts w:hint="eastAsia" w:ascii="仿宋" w:hAnsi="仿宋" w:eastAsia="仿宋"/>
          <w:spacing w:val="15"/>
          <w:sz w:val="32"/>
          <w:szCs w:val="32"/>
        </w:rPr>
        <w:t>通过针对性的专题培训，为市场经营主体拓展新的销售渠道、掌握新的销售技能，有效提升义乌市场经营能力。</w:t>
      </w:r>
      <w:r>
        <w:rPr>
          <w:rFonts w:hint="eastAsia" w:ascii="仿宋" w:hAnsi="仿宋" w:eastAsia="仿宋"/>
          <w:b/>
          <w:bCs/>
          <w:sz w:val="32"/>
          <w:szCs w:val="32"/>
        </w:rPr>
        <w:t>三是加大对“新市场人”的招引和孵化力度。</w:t>
      </w:r>
      <w:r>
        <w:rPr>
          <w:rFonts w:hint="eastAsia" w:ascii="仿宋" w:hAnsi="仿宋" w:eastAsia="仿宋"/>
          <w:sz w:val="32"/>
          <w:szCs w:val="32"/>
        </w:rPr>
        <w:t>在税收、场地、购房等方面给予优惠政策，加大对优质电商企业、直播机构、供应链公司的招引和孵化力度，积极推进其进市场交易，在市场内打造全国一流的直播基地和供应链中心，加快实现线上线下两个市场的深度融合，全面提升市场经营主体整体经营能力。</w:t>
      </w:r>
    </w:p>
    <w:bookmarkEnd w:id="96"/>
    <w:bookmarkEnd w:id="97"/>
    <w:bookmarkEnd w:id="98"/>
    <w:p>
      <w:pPr>
        <w:pStyle w:val="2"/>
        <w:spacing w:before="120" w:after="120" w:line="660" w:lineRule="exact"/>
        <w:ind w:firstLine="720" w:firstLineChars="200"/>
        <w:rPr>
          <w:rFonts w:ascii="黑体" w:hAnsi="黑体" w:eastAsia="黑体" w:cs="Times New Roman"/>
          <w:b w:val="0"/>
          <w:sz w:val="36"/>
          <w:szCs w:val="36"/>
        </w:rPr>
      </w:pPr>
      <w:bookmarkStart w:id="100" w:name="_Toc51886328"/>
      <w:bookmarkStart w:id="101" w:name="_Toc58739921"/>
      <w:bookmarkStart w:id="102" w:name="_Toc59151867"/>
      <w:bookmarkStart w:id="103" w:name="_Toc61205043"/>
      <w:r>
        <w:rPr>
          <w:rFonts w:hint="eastAsia" w:ascii="黑体" w:hAnsi="黑体" w:eastAsia="黑体" w:cs="Times New Roman"/>
          <w:b w:val="0"/>
          <w:sz w:val="36"/>
          <w:szCs w:val="36"/>
        </w:rPr>
        <w:t>六、保障措施</w:t>
      </w:r>
      <w:bookmarkEnd w:id="100"/>
      <w:bookmarkEnd w:id="101"/>
      <w:bookmarkEnd w:id="102"/>
      <w:bookmarkEnd w:id="103"/>
    </w:p>
    <w:p>
      <w:pPr>
        <w:pStyle w:val="3"/>
        <w:spacing w:before="120" w:after="120" w:line="560" w:lineRule="exact"/>
        <w:ind w:firstLine="643" w:firstLineChars="200"/>
        <w:rPr>
          <w:rFonts w:ascii="楷体_GB2312" w:eastAsia="楷体_GB2312"/>
          <w:bCs w:val="0"/>
          <w:kern w:val="0"/>
          <w:szCs w:val="20"/>
        </w:rPr>
      </w:pPr>
      <w:bookmarkStart w:id="104" w:name="_Toc61205044"/>
      <w:bookmarkStart w:id="105" w:name="_Toc59151868"/>
      <w:bookmarkStart w:id="106" w:name="_Toc51886329"/>
      <w:bookmarkStart w:id="107" w:name="_Toc58452977"/>
      <w:bookmarkStart w:id="108" w:name="_Toc58739922"/>
      <w:r>
        <w:rPr>
          <w:rFonts w:hint="eastAsia" w:ascii="楷体_GB2312" w:eastAsia="楷体_GB2312"/>
          <w:bCs w:val="0"/>
          <w:kern w:val="0"/>
          <w:szCs w:val="20"/>
        </w:rPr>
        <w:t>（一）加强组织领导</w:t>
      </w:r>
      <w:bookmarkEnd w:id="104"/>
      <w:bookmarkEnd w:id="105"/>
      <w:bookmarkEnd w:id="106"/>
      <w:bookmarkEnd w:id="107"/>
      <w:bookmarkEnd w:id="108"/>
    </w:p>
    <w:p>
      <w:pPr>
        <w:ind w:firstLine="640" w:firstLineChars="200"/>
        <w:rPr>
          <w:rFonts w:ascii="仿宋" w:hAnsi="仿宋" w:eastAsia="仿宋"/>
          <w:sz w:val="32"/>
          <w:szCs w:val="32"/>
        </w:rPr>
      </w:pPr>
      <w:r>
        <w:rPr>
          <w:rFonts w:hint="eastAsia" w:ascii="仿宋" w:hAnsi="仿宋" w:eastAsia="仿宋"/>
          <w:sz w:val="32"/>
          <w:szCs w:val="32"/>
        </w:rPr>
        <w:t>建立由市委市政府主要领导牵头，全市各主要部门和企业共同参与的工作协调机制。成立重点任务、重点工程专班制度，建立重点工作领导联席制度，落实任务归属，明确绩效考核，做到问题有解答、过程有监督、目标有保障的长效协同机制。统筹推进规划确定的市场总体目标、政策保障、平台建设、健全重大决策咨询制度，组建义乌市场发展专家智库，为义乌自贸区、第六代市场等建设提供智力支持。鼓励社会群众为市场发展建言献策，不定期组织社会各界知名人士就相关问题展开讨论，聚焦民意，凝聚民力，共筑市场发展合力。</w:t>
      </w:r>
    </w:p>
    <w:p>
      <w:pPr>
        <w:pStyle w:val="3"/>
        <w:spacing w:before="120" w:after="120" w:line="560" w:lineRule="exact"/>
        <w:ind w:firstLine="643" w:firstLineChars="200"/>
        <w:rPr>
          <w:rFonts w:ascii="楷体_GB2312" w:eastAsia="楷体_GB2312"/>
          <w:bCs w:val="0"/>
          <w:kern w:val="0"/>
          <w:szCs w:val="20"/>
        </w:rPr>
      </w:pPr>
      <w:bookmarkStart w:id="109" w:name="_Toc58452978"/>
      <w:bookmarkStart w:id="110" w:name="_Toc51886330"/>
      <w:bookmarkStart w:id="111" w:name="_Toc59151869"/>
      <w:bookmarkStart w:id="112" w:name="_Toc58739923"/>
      <w:bookmarkStart w:id="113" w:name="_Toc61205045"/>
      <w:r>
        <w:rPr>
          <w:rFonts w:hint="eastAsia" w:ascii="楷体_GB2312" w:eastAsia="楷体_GB2312"/>
          <w:bCs w:val="0"/>
          <w:kern w:val="0"/>
          <w:szCs w:val="20"/>
        </w:rPr>
        <w:t>（二）严格任务跟踪</w:t>
      </w:r>
      <w:bookmarkEnd w:id="109"/>
      <w:bookmarkEnd w:id="110"/>
      <w:bookmarkEnd w:id="111"/>
      <w:bookmarkEnd w:id="112"/>
      <w:bookmarkEnd w:id="113"/>
    </w:p>
    <w:p>
      <w:pPr>
        <w:ind w:firstLine="640" w:firstLineChars="200"/>
        <w:rPr>
          <w:rFonts w:ascii="仿宋" w:hAnsi="仿宋" w:eastAsia="仿宋"/>
          <w:sz w:val="32"/>
          <w:szCs w:val="32"/>
        </w:rPr>
      </w:pPr>
      <w:r>
        <w:rPr>
          <w:rFonts w:hint="eastAsia" w:ascii="仿宋" w:hAnsi="仿宋" w:eastAsia="仿宋"/>
          <w:sz w:val="32"/>
          <w:szCs w:val="32"/>
        </w:rPr>
        <w:t>合理分解年度实施计划，明确进度要求，制订出台重点项目实施进度及质量监督机制，聚焦新业态、新模式、新技术创新研究与应用，坚持学懂弄通做实，建立国际国内对标市场跟踪机制，确保始终走在政策前沿、技术前列、竞争前排。建立健全规划的实施、调整和评价机制，健全重大事项报告制度，强化动态管理，组织好中期评估，不断优化规划方式和实施路径，保障规划总体目标不偏离、不落伍。</w:t>
      </w:r>
    </w:p>
    <w:p>
      <w:pPr>
        <w:pStyle w:val="3"/>
        <w:spacing w:before="120" w:after="120" w:line="560" w:lineRule="exact"/>
        <w:ind w:firstLine="643" w:firstLineChars="200"/>
        <w:rPr>
          <w:rFonts w:ascii="楷体_GB2312" w:eastAsia="楷体_GB2312"/>
          <w:bCs w:val="0"/>
          <w:kern w:val="0"/>
          <w:szCs w:val="20"/>
        </w:rPr>
      </w:pPr>
      <w:bookmarkStart w:id="114" w:name="_Toc51886331"/>
      <w:bookmarkStart w:id="115" w:name="_Toc58452979"/>
      <w:bookmarkStart w:id="116" w:name="_Toc58739924"/>
      <w:bookmarkStart w:id="117" w:name="_Toc59151870"/>
      <w:bookmarkStart w:id="118" w:name="_Toc61205046"/>
      <w:r>
        <w:rPr>
          <w:rFonts w:hint="eastAsia" w:ascii="楷体_GB2312" w:eastAsia="楷体_GB2312"/>
          <w:bCs w:val="0"/>
          <w:kern w:val="0"/>
          <w:szCs w:val="20"/>
        </w:rPr>
        <w:t>（三）强化精准施策</w:t>
      </w:r>
      <w:bookmarkEnd w:id="114"/>
      <w:bookmarkEnd w:id="115"/>
      <w:bookmarkEnd w:id="116"/>
      <w:bookmarkEnd w:id="117"/>
      <w:bookmarkEnd w:id="118"/>
    </w:p>
    <w:p>
      <w:pPr>
        <w:ind w:firstLine="640" w:firstLineChars="200"/>
        <w:rPr>
          <w:rFonts w:eastAsia="仿宋_GB2312"/>
          <w:sz w:val="32"/>
          <w:szCs w:val="32"/>
        </w:rPr>
      </w:pPr>
      <w:r>
        <w:rPr>
          <w:rFonts w:hint="eastAsia" w:ascii="仿宋" w:hAnsi="仿宋" w:eastAsia="仿宋"/>
          <w:sz w:val="32"/>
          <w:szCs w:val="32"/>
        </w:rPr>
        <w:t>做好市场创新发展分步实施计划，以现有市场为载体，以自贸区、进口市场和数字市场建设为着力点，通过试点推进、分类指导、政策扶持的方式，逐步推进项目的全面落地。做精做细配套措施的出台，不断完善政策、资金、用地、税费、人才等市场要素资源，形成完善的创新生态体系。基于不同类型的市场业态和经营特征、发展阶段，分类施策，更好地满足多样化、细分化的商户需求。</w:t>
      </w:r>
    </w:p>
    <w:p>
      <w:pPr>
        <w:pStyle w:val="3"/>
        <w:spacing w:before="120" w:after="120" w:line="560" w:lineRule="exact"/>
        <w:ind w:firstLine="643" w:firstLineChars="200"/>
        <w:rPr>
          <w:rFonts w:ascii="楷体_GB2312" w:eastAsia="楷体_GB2312"/>
          <w:bCs w:val="0"/>
          <w:kern w:val="0"/>
          <w:szCs w:val="20"/>
        </w:rPr>
      </w:pPr>
      <w:bookmarkStart w:id="119" w:name="_Toc58452980"/>
      <w:bookmarkStart w:id="120" w:name="_Toc61205047"/>
      <w:bookmarkStart w:id="121" w:name="_Toc59151871"/>
      <w:bookmarkStart w:id="122" w:name="_Toc58739925"/>
      <w:r>
        <w:rPr>
          <w:rFonts w:hint="eastAsia" w:ascii="楷体_GB2312" w:eastAsia="楷体_GB2312"/>
          <w:bCs w:val="0"/>
          <w:kern w:val="0"/>
          <w:szCs w:val="20"/>
        </w:rPr>
        <w:t>（四）加强要素保障</w:t>
      </w:r>
      <w:bookmarkEnd w:id="119"/>
      <w:bookmarkEnd w:id="120"/>
      <w:bookmarkEnd w:id="121"/>
      <w:bookmarkEnd w:id="122"/>
    </w:p>
    <w:p>
      <w:pPr>
        <w:ind w:firstLine="640" w:firstLineChars="200"/>
        <w:rPr>
          <w:rFonts w:ascii="仿宋" w:hAnsi="仿宋" w:eastAsia="仿宋"/>
          <w:sz w:val="32"/>
          <w:szCs w:val="32"/>
        </w:rPr>
      </w:pPr>
      <w:r>
        <w:rPr>
          <w:rFonts w:hint="eastAsia" w:ascii="仿宋" w:hAnsi="仿宋" w:eastAsia="仿宋"/>
          <w:sz w:val="32"/>
          <w:szCs w:val="32"/>
        </w:rPr>
        <w:t>充分发挥土地的要素保障作用，争取国家和省级层面支持，争取</w:t>
      </w:r>
      <w:r>
        <w:rPr>
          <w:rFonts w:hint="cs" w:ascii="仿宋" w:hAnsi="仿宋" w:eastAsia="仿宋"/>
          <w:sz w:val="32"/>
          <w:szCs w:val="32"/>
        </w:rPr>
        <w:t>“</w:t>
      </w:r>
      <w:r>
        <w:rPr>
          <w:rFonts w:hint="eastAsia" w:ascii="仿宋" w:hAnsi="仿宋" w:eastAsia="仿宋"/>
          <w:sz w:val="32"/>
          <w:szCs w:val="32"/>
        </w:rPr>
        <w:t>贸地平衡</w:t>
      </w:r>
      <w:r>
        <w:rPr>
          <w:rFonts w:hint="cs" w:ascii="仿宋" w:hAnsi="仿宋" w:eastAsia="仿宋"/>
          <w:sz w:val="32"/>
          <w:szCs w:val="32"/>
        </w:rPr>
        <w:t>”</w:t>
      </w:r>
      <w:r>
        <w:rPr>
          <w:rFonts w:hint="eastAsia" w:ascii="仿宋" w:hAnsi="仿宋" w:eastAsia="仿宋"/>
          <w:sz w:val="32"/>
          <w:szCs w:val="32"/>
        </w:rPr>
        <w:t>试点尽早落地，优化土地要素配置，加速</w:t>
      </w:r>
      <w:r>
        <w:rPr>
          <w:rFonts w:hint="cs" w:ascii="仿宋" w:hAnsi="仿宋" w:eastAsia="仿宋"/>
          <w:sz w:val="32"/>
          <w:szCs w:val="32"/>
        </w:rPr>
        <w:t>“</w:t>
      </w:r>
      <w:r>
        <w:rPr>
          <w:rFonts w:hint="eastAsia" w:ascii="仿宋" w:hAnsi="仿宋" w:eastAsia="仿宋"/>
          <w:sz w:val="32"/>
          <w:szCs w:val="32"/>
        </w:rPr>
        <w:t>腾笼换鸟</w:t>
      </w:r>
      <w:r>
        <w:rPr>
          <w:rFonts w:hint="cs" w:ascii="仿宋" w:hAnsi="仿宋" w:eastAsia="仿宋"/>
          <w:sz w:val="32"/>
          <w:szCs w:val="32"/>
        </w:rPr>
        <w:t>”</w:t>
      </w:r>
      <w:r>
        <w:rPr>
          <w:rFonts w:hint="eastAsia" w:ascii="仿宋" w:hAnsi="仿宋" w:eastAsia="仿宋"/>
          <w:sz w:val="32"/>
          <w:szCs w:val="32"/>
        </w:rPr>
        <w:t>。创新财税和融资机制，发挥商城集团、市场集团等平台公司的金融服务能力，积极开展供应链金融，扩大利用外资的范围，落实好国家减轻企业负担的各项普惠性税费优惠政策。充分调动义乌民间市场活力，利用财税杠杆引导社会资金投入，多渠道筹集市场建设资金，提高区域经济生存发展能力和培养造血功能。大力优化人才工作环境，切实解决外国人来义经商、工作、生活、旅游中的急难问题，创新新型创新人才引进制度，</w:t>
      </w:r>
      <w:bookmarkStart w:id="123" w:name="_Toc58452981"/>
      <w:r>
        <w:rPr>
          <w:rFonts w:hint="eastAsia" w:ascii="仿宋" w:hAnsi="仿宋" w:eastAsia="仿宋"/>
          <w:sz w:val="32"/>
          <w:szCs w:val="32"/>
        </w:rPr>
        <w:t>加大市场管理人才、电商人才、直播人才的引培力度，全面激发人才创新创业活力。</w:t>
      </w:r>
    </w:p>
    <w:bookmarkEnd w:id="123"/>
    <w:p>
      <w:pPr>
        <w:pStyle w:val="28"/>
        <w:ind w:firstLine="643"/>
        <w:rPr>
          <w:rFonts w:ascii="楷体" w:hAnsi="楷体" w:eastAsia="楷体"/>
        </w:rPr>
      </w:pPr>
      <w:bookmarkStart w:id="124" w:name="_Toc58452982"/>
      <w:bookmarkStart w:id="125" w:name="_Toc58739926"/>
      <w:bookmarkStart w:id="126" w:name="_Toc59151872"/>
      <w:bookmarkStart w:id="127" w:name="_Toc61205048"/>
      <w:r>
        <w:rPr>
          <w:rFonts w:hint="eastAsia" w:ascii="楷体" w:hAnsi="楷体" w:eastAsia="楷体"/>
        </w:rPr>
        <w:t>（五）</w:t>
      </w:r>
      <w:bookmarkEnd w:id="124"/>
      <w:r>
        <w:rPr>
          <w:rFonts w:hint="eastAsia" w:ascii="楷体" w:hAnsi="楷体" w:eastAsia="楷体"/>
        </w:rPr>
        <w:t>优化营商环境</w:t>
      </w:r>
      <w:bookmarkEnd w:id="125"/>
      <w:bookmarkEnd w:id="126"/>
      <w:bookmarkEnd w:id="127"/>
    </w:p>
    <w:p>
      <w:pPr>
        <w:ind w:firstLine="640" w:firstLineChars="200"/>
        <w:rPr>
          <w:rFonts w:ascii="仿宋" w:hAnsi="仿宋" w:eastAsia="仿宋"/>
          <w:sz w:val="32"/>
          <w:szCs w:val="32"/>
        </w:rPr>
      </w:pPr>
      <w:r>
        <w:rPr>
          <w:rFonts w:hint="eastAsia" w:ascii="仿宋" w:hAnsi="仿宋" w:eastAsia="仿宋"/>
          <w:sz w:val="32"/>
          <w:szCs w:val="32"/>
        </w:rPr>
        <w:t>进一步推进政府职能转变，探索建立容错纠错机制及安全可靠、开放包容的市场发展环境。持续深化</w:t>
      </w:r>
      <w:r>
        <w:rPr>
          <w:rFonts w:hint="cs" w:ascii="仿宋" w:hAnsi="仿宋" w:eastAsia="仿宋"/>
          <w:sz w:val="32"/>
          <w:szCs w:val="32"/>
        </w:rPr>
        <w:t>“</w:t>
      </w:r>
      <w:r>
        <w:rPr>
          <w:rFonts w:hint="eastAsia" w:ascii="仿宋" w:hAnsi="仿宋" w:eastAsia="仿宋"/>
          <w:sz w:val="32"/>
          <w:szCs w:val="32"/>
        </w:rPr>
        <w:t>放管服</w:t>
      </w:r>
      <w:r>
        <w:rPr>
          <w:rFonts w:hint="cs" w:ascii="仿宋" w:hAnsi="仿宋" w:eastAsia="仿宋"/>
          <w:sz w:val="32"/>
          <w:szCs w:val="32"/>
        </w:rPr>
        <w:t>”</w:t>
      </w:r>
      <w:r>
        <w:rPr>
          <w:rFonts w:hint="eastAsia" w:ascii="仿宋" w:hAnsi="仿宋" w:eastAsia="仿宋"/>
          <w:sz w:val="32"/>
          <w:szCs w:val="32"/>
        </w:rPr>
        <w:t>改革，放宽对多业态融合、多产品混业经营的限制，简化与市场发展相关的行政审批事项，降低新业态企业设立门槛，着力消除阻碍新产业新业态发展的各种行业性、经营性壁垒，采取包容审慎监管。加大市场监管和信用体系建设力度，清理市场渠道不合理收费，着力破解市场垄断、资本垄断、平台垄断问题，促进市场公平竞争。建立符合国际标准的知识产权保障体系，信用认证体系、数据安全体系，加大力度保护市场原创性包装、设计产品，打击商标侵权和仿冒等违法行为。改善新兴贸易业态发展环境，重点完善制度环境，推进与贸易便利化相关的税收、市场准入、监管、法律法规等制度建设；积极争取上级部门支持，放宽货币兑换、外汇融资等对外投资金融监管，加强政府在境外投资政策协调、信息对接等方面的服务功能。</w:t>
      </w:r>
    </w:p>
    <w:bookmarkEnd w:id="0"/>
    <w:bookmarkEnd w:id="1"/>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Light">
    <w:altName w:val="Arial Unicode MS"/>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114250"/>
      <w:docPartObj>
        <w:docPartGallery w:val="AutoText"/>
      </w:docPartObj>
    </w:sdtPr>
    <w:sdtContent>
      <w:p>
        <w:pPr>
          <w:pStyle w:val="9"/>
          <w:jc w:val="center"/>
        </w:pPr>
        <w:r>
          <w:fldChar w:fldCharType="begin"/>
        </w:r>
        <w:r>
          <w:instrText xml:space="preserve">PAGE   \* MERGEFORMAT</w:instrText>
        </w:r>
        <w:r>
          <w:fldChar w:fldCharType="separate"/>
        </w:r>
        <w:r>
          <w:rPr>
            <w:lang w:val="zh-CN"/>
          </w:rPr>
          <w:t>28</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9548E"/>
    <w:multiLevelType w:val="multilevel"/>
    <w:tmpl w:val="0D09548E"/>
    <w:lvl w:ilvl="0" w:tentative="0">
      <w:start w:val="1"/>
      <w:numFmt w:val="decimal"/>
      <w:pStyle w:val="23"/>
      <w:suff w:val="nothing"/>
      <w:lvlText w:val="%1."/>
      <w:lvlJc w:val="center"/>
      <w:pPr>
        <w:ind w:left="84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zOGFkYmU0NDRmYTVkNGJhYTZkNzIzYTc0NmEzOWQifQ=="/>
  </w:docVars>
  <w:rsids>
    <w:rsidRoot w:val="00961A67"/>
    <w:rsid w:val="000274BB"/>
    <w:rsid w:val="000434AB"/>
    <w:rsid w:val="00044A7D"/>
    <w:rsid w:val="00061C3E"/>
    <w:rsid w:val="000D77D2"/>
    <w:rsid w:val="00127CAE"/>
    <w:rsid w:val="00153FB3"/>
    <w:rsid w:val="001847D8"/>
    <w:rsid w:val="001C7B34"/>
    <w:rsid w:val="001D4615"/>
    <w:rsid w:val="00223B54"/>
    <w:rsid w:val="0023243E"/>
    <w:rsid w:val="00235AB3"/>
    <w:rsid w:val="00237AB2"/>
    <w:rsid w:val="002809D4"/>
    <w:rsid w:val="002B1780"/>
    <w:rsid w:val="002D6BB2"/>
    <w:rsid w:val="002E57C2"/>
    <w:rsid w:val="00305A66"/>
    <w:rsid w:val="00312DAD"/>
    <w:rsid w:val="00363495"/>
    <w:rsid w:val="00375502"/>
    <w:rsid w:val="00383C52"/>
    <w:rsid w:val="003A7105"/>
    <w:rsid w:val="003B1D25"/>
    <w:rsid w:val="003D011E"/>
    <w:rsid w:val="003E63BF"/>
    <w:rsid w:val="003F6C85"/>
    <w:rsid w:val="004049C1"/>
    <w:rsid w:val="004157C1"/>
    <w:rsid w:val="00420C53"/>
    <w:rsid w:val="00420DF8"/>
    <w:rsid w:val="004528CA"/>
    <w:rsid w:val="00460FA4"/>
    <w:rsid w:val="004827CD"/>
    <w:rsid w:val="004A0516"/>
    <w:rsid w:val="004A6E0E"/>
    <w:rsid w:val="004C102C"/>
    <w:rsid w:val="004D179C"/>
    <w:rsid w:val="00511CBF"/>
    <w:rsid w:val="005120FF"/>
    <w:rsid w:val="00512859"/>
    <w:rsid w:val="0051678E"/>
    <w:rsid w:val="00521C6F"/>
    <w:rsid w:val="005555EB"/>
    <w:rsid w:val="0059188A"/>
    <w:rsid w:val="0059547B"/>
    <w:rsid w:val="005A502E"/>
    <w:rsid w:val="005F4B71"/>
    <w:rsid w:val="00601539"/>
    <w:rsid w:val="00604939"/>
    <w:rsid w:val="00640D56"/>
    <w:rsid w:val="00645389"/>
    <w:rsid w:val="006547D6"/>
    <w:rsid w:val="00654DA9"/>
    <w:rsid w:val="00660FD3"/>
    <w:rsid w:val="0066191B"/>
    <w:rsid w:val="00663B11"/>
    <w:rsid w:val="00665CB0"/>
    <w:rsid w:val="00680737"/>
    <w:rsid w:val="006957C1"/>
    <w:rsid w:val="006E32BE"/>
    <w:rsid w:val="006E7C67"/>
    <w:rsid w:val="00704870"/>
    <w:rsid w:val="00712FC9"/>
    <w:rsid w:val="00733EA5"/>
    <w:rsid w:val="0074627A"/>
    <w:rsid w:val="00746E23"/>
    <w:rsid w:val="007579F6"/>
    <w:rsid w:val="00785FA7"/>
    <w:rsid w:val="007957ED"/>
    <w:rsid w:val="00796127"/>
    <w:rsid w:val="007B0D73"/>
    <w:rsid w:val="007C4025"/>
    <w:rsid w:val="007D4537"/>
    <w:rsid w:val="007F5502"/>
    <w:rsid w:val="00803D3F"/>
    <w:rsid w:val="008152B1"/>
    <w:rsid w:val="008168A2"/>
    <w:rsid w:val="0083037C"/>
    <w:rsid w:val="00830F4F"/>
    <w:rsid w:val="00840015"/>
    <w:rsid w:val="00845DB9"/>
    <w:rsid w:val="00860304"/>
    <w:rsid w:val="00865B71"/>
    <w:rsid w:val="00874D26"/>
    <w:rsid w:val="008920CB"/>
    <w:rsid w:val="00896DD6"/>
    <w:rsid w:val="008A5725"/>
    <w:rsid w:val="008A7A19"/>
    <w:rsid w:val="008B34A9"/>
    <w:rsid w:val="008F17EB"/>
    <w:rsid w:val="008F7020"/>
    <w:rsid w:val="00910166"/>
    <w:rsid w:val="00912DBF"/>
    <w:rsid w:val="00953E36"/>
    <w:rsid w:val="00956AD5"/>
    <w:rsid w:val="00961A67"/>
    <w:rsid w:val="00962701"/>
    <w:rsid w:val="00965689"/>
    <w:rsid w:val="0097624A"/>
    <w:rsid w:val="009814CC"/>
    <w:rsid w:val="00982C3C"/>
    <w:rsid w:val="0098389A"/>
    <w:rsid w:val="0099192E"/>
    <w:rsid w:val="009A1B74"/>
    <w:rsid w:val="009C4D5B"/>
    <w:rsid w:val="009E108E"/>
    <w:rsid w:val="009E37DF"/>
    <w:rsid w:val="009E6C37"/>
    <w:rsid w:val="009F401C"/>
    <w:rsid w:val="00A43803"/>
    <w:rsid w:val="00A50ED1"/>
    <w:rsid w:val="00A54CB9"/>
    <w:rsid w:val="00A60041"/>
    <w:rsid w:val="00A80A24"/>
    <w:rsid w:val="00A90CFA"/>
    <w:rsid w:val="00AB0027"/>
    <w:rsid w:val="00AC6D05"/>
    <w:rsid w:val="00AD6E47"/>
    <w:rsid w:val="00AE23A3"/>
    <w:rsid w:val="00AE48B9"/>
    <w:rsid w:val="00AF1A3F"/>
    <w:rsid w:val="00B10E93"/>
    <w:rsid w:val="00B65C28"/>
    <w:rsid w:val="00B74F17"/>
    <w:rsid w:val="00B8277B"/>
    <w:rsid w:val="00B87CF5"/>
    <w:rsid w:val="00BA02F1"/>
    <w:rsid w:val="00BA182B"/>
    <w:rsid w:val="00BA5EC6"/>
    <w:rsid w:val="00BC1D78"/>
    <w:rsid w:val="00BD2D54"/>
    <w:rsid w:val="00C05717"/>
    <w:rsid w:val="00C24F40"/>
    <w:rsid w:val="00C33A71"/>
    <w:rsid w:val="00C3761F"/>
    <w:rsid w:val="00C436A7"/>
    <w:rsid w:val="00CA64AB"/>
    <w:rsid w:val="00CC473E"/>
    <w:rsid w:val="00CD1C48"/>
    <w:rsid w:val="00CD2B8F"/>
    <w:rsid w:val="00CE65FE"/>
    <w:rsid w:val="00D404EA"/>
    <w:rsid w:val="00D624AC"/>
    <w:rsid w:val="00D71653"/>
    <w:rsid w:val="00DB7CB4"/>
    <w:rsid w:val="00DD5F5C"/>
    <w:rsid w:val="00DF33D3"/>
    <w:rsid w:val="00E01140"/>
    <w:rsid w:val="00E04B13"/>
    <w:rsid w:val="00E123BB"/>
    <w:rsid w:val="00E1539E"/>
    <w:rsid w:val="00E56012"/>
    <w:rsid w:val="00E651F0"/>
    <w:rsid w:val="00E918C8"/>
    <w:rsid w:val="00E974E4"/>
    <w:rsid w:val="00EA1787"/>
    <w:rsid w:val="00EA5306"/>
    <w:rsid w:val="00F06764"/>
    <w:rsid w:val="00F178E5"/>
    <w:rsid w:val="00F223A6"/>
    <w:rsid w:val="00F25305"/>
    <w:rsid w:val="00F37B68"/>
    <w:rsid w:val="00F422FC"/>
    <w:rsid w:val="00F54DB6"/>
    <w:rsid w:val="00F82769"/>
    <w:rsid w:val="00F95B7B"/>
    <w:rsid w:val="09A41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9"/>
    <w:pPr>
      <w:keepNext/>
      <w:keepLines/>
      <w:spacing w:before="340" w:after="330" w:line="578" w:lineRule="auto"/>
      <w:outlineLvl w:val="0"/>
    </w:pPr>
    <w:rPr>
      <w:rFonts w:ascii="Calibri" w:hAnsi="Calibri" w:eastAsia="宋体" w:cs="Calibri"/>
      <w:b/>
      <w:bCs/>
      <w:kern w:val="44"/>
      <w:sz w:val="44"/>
      <w:szCs w:val="44"/>
      <w:lang w:val="zh-CN"/>
    </w:rPr>
  </w:style>
  <w:style w:type="paragraph" w:styleId="3">
    <w:name w:val="heading 2"/>
    <w:basedOn w:val="1"/>
    <w:next w:val="1"/>
    <w:link w:val="26"/>
    <w:qFormat/>
    <w:uiPriority w:val="99"/>
    <w:pPr>
      <w:keepNext/>
      <w:keepLines/>
      <w:spacing w:before="260" w:after="260" w:line="416" w:lineRule="auto"/>
      <w:outlineLvl w:val="1"/>
    </w:pPr>
    <w:rPr>
      <w:rFonts w:ascii="Arial" w:hAnsi="Arial" w:eastAsia="黑体" w:cs="Times New Roman"/>
      <w:b/>
      <w:bCs/>
      <w:sz w:val="32"/>
      <w:szCs w:val="32"/>
      <w:lang w:val="zh-CN"/>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0"/>
    <w:pPr>
      <w:ind w:left="420" w:leftChars="200"/>
    </w:pPr>
    <w:rPr>
      <w:rFonts w:ascii="Calibri" w:hAnsi="Calibri" w:eastAsia="宋体" w:cs="Times New Roman"/>
      <w:szCs w:val="24"/>
    </w:rPr>
  </w:style>
  <w:style w:type="paragraph" w:styleId="7">
    <w:name w:val="toc 3"/>
    <w:basedOn w:val="1"/>
    <w:next w:val="1"/>
    <w:unhideWhenUsed/>
    <w:uiPriority w:val="39"/>
    <w:pPr>
      <w:tabs>
        <w:tab w:val="right" w:leader="dot" w:pos="8296"/>
      </w:tabs>
      <w:ind w:left="840" w:leftChars="400"/>
    </w:pPr>
    <w:rPr>
      <w:rFonts w:ascii="楷体" w:hAnsi="楷体" w:eastAsia="楷体"/>
      <w:sz w:val="28"/>
      <w:szCs w:val="28"/>
    </w:rPr>
  </w:style>
  <w:style w:type="paragraph" w:styleId="8">
    <w:name w:val="Balloon Text"/>
    <w:basedOn w:val="1"/>
    <w:link w:val="35"/>
    <w:semiHidden/>
    <w:unhideWhenUsed/>
    <w:uiPriority w:val="99"/>
    <w:rPr>
      <w:sz w:val="18"/>
      <w:szCs w:val="18"/>
    </w:rPr>
  </w:style>
  <w:style w:type="paragraph" w:styleId="9">
    <w:name w:val="footer"/>
    <w:basedOn w:val="1"/>
    <w:link w:val="34"/>
    <w:unhideWhenUsed/>
    <w:uiPriority w:val="99"/>
    <w:pPr>
      <w:tabs>
        <w:tab w:val="center" w:pos="4153"/>
        <w:tab w:val="right" w:pos="8306"/>
      </w:tabs>
      <w:snapToGrid w:val="0"/>
      <w:jc w:val="left"/>
    </w:pPr>
    <w:rPr>
      <w:sz w:val="18"/>
      <w:szCs w:val="18"/>
    </w:rPr>
  </w:style>
  <w:style w:type="paragraph" w:styleId="10">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tabs>
        <w:tab w:val="right" w:leader="dot" w:pos="8296"/>
      </w:tabs>
      <w:spacing w:line="336" w:lineRule="auto"/>
    </w:pPr>
    <w:rPr>
      <w:rFonts w:ascii="黑体" w:hAnsi="黑体" w:eastAsia="黑体" w:cs="Times New Roman"/>
      <w:sz w:val="24"/>
      <w:szCs w:val="28"/>
    </w:rPr>
  </w:style>
  <w:style w:type="paragraph" w:styleId="12">
    <w:name w:val="toc 2"/>
    <w:basedOn w:val="1"/>
    <w:next w:val="1"/>
    <w:unhideWhenUsed/>
    <w:uiPriority w:val="39"/>
    <w:pPr>
      <w:tabs>
        <w:tab w:val="right" w:leader="dot" w:pos="8296"/>
      </w:tabs>
      <w:spacing w:line="348" w:lineRule="auto"/>
      <w:ind w:left="420" w:leftChars="200"/>
    </w:pPr>
    <w:rPr>
      <w:rFonts w:ascii="楷体_GB2312" w:eastAsia="楷体_GB2312"/>
      <w:b/>
      <w:kern w:val="0"/>
      <w:sz w:val="22"/>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36"/>
    <w:qFormat/>
    <w:uiPriority w:val="0"/>
    <w:pPr>
      <w:spacing w:before="240" w:after="60"/>
      <w:jc w:val="left"/>
      <w:outlineLvl w:val="0"/>
    </w:pPr>
    <w:rPr>
      <w:rFonts w:ascii="等线 Light" w:hAnsi="等线 Light" w:eastAsia="黑体" w:cs="Times New Roman"/>
      <w:b/>
      <w:bCs/>
      <w:sz w:val="32"/>
      <w:szCs w:val="32"/>
    </w:rPr>
  </w:style>
  <w:style w:type="table" w:styleId="16">
    <w:name w:val="Table Grid"/>
    <w:basedOn w:val="1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FollowedHyperlink"/>
    <w:basedOn w:val="17"/>
    <w:semiHidden/>
    <w:unhideWhenUsed/>
    <w:uiPriority w:val="99"/>
    <w:rPr>
      <w:color w:val="954F72" w:themeColor="followedHyperlink"/>
      <w:u w:val="single"/>
    </w:rPr>
  </w:style>
  <w:style w:type="character" w:styleId="20">
    <w:name w:val="Emphasis"/>
    <w:basedOn w:val="17"/>
    <w:qFormat/>
    <w:uiPriority w:val="20"/>
    <w:rPr>
      <w:i/>
      <w:iCs/>
    </w:rPr>
  </w:style>
  <w:style w:type="character" w:styleId="21">
    <w:name w:val="Hyperlink"/>
    <w:basedOn w:val="17"/>
    <w:unhideWhenUsed/>
    <w:uiPriority w:val="99"/>
    <w:rPr>
      <w:color w:val="0563C1" w:themeColor="hyperlink"/>
      <w:u w:val="single"/>
    </w:rPr>
  </w:style>
  <w:style w:type="paragraph" w:styleId="22">
    <w:name w:val="List Paragraph"/>
    <w:basedOn w:val="1"/>
    <w:qFormat/>
    <w:uiPriority w:val="34"/>
    <w:pPr>
      <w:ind w:firstLine="420" w:firstLineChars="200"/>
    </w:pPr>
  </w:style>
  <w:style w:type="paragraph" w:customStyle="1" w:styleId="23">
    <w:name w:val="样式1"/>
    <w:basedOn w:val="1"/>
    <w:qFormat/>
    <w:uiPriority w:val="0"/>
    <w:pPr>
      <w:numPr>
        <w:ilvl w:val="0"/>
        <w:numId w:val="1"/>
      </w:numPr>
      <w:tabs>
        <w:tab w:val="left" w:pos="0"/>
      </w:tabs>
      <w:spacing w:before="120" w:after="120" w:line="580" w:lineRule="exact"/>
      <w:outlineLvl w:val="2"/>
    </w:pPr>
    <w:rPr>
      <w:rFonts w:ascii="Times New Roman" w:hAnsi="Times New Roman" w:eastAsia="楷体_GB2312" w:cs="Times New Roman"/>
      <w:sz w:val="32"/>
      <w:szCs w:val="24"/>
    </w:rPr>
  </w:style>
  <w:style w:type="character" w:customStyle="1" w:styleId="24">
    <w:name w:val="标题 3 Char"/>
    <w:basedOn w:val="17"/>
    <w:link w:val="4"/>
    <w:qFormat/>
    <w:uiPriority w:val="9"/>
    <w:rPr>
      <w:b/>
      <w:bCs/>
      <w:sz w:val="32"/>
      <w:szCs w:val="32"/>
    </w:rPr>
  </w:style>
  <w:style w:type="character" w:customStyle="1" w:styleId="25">
    <w:name w:val="标题 2 字符"/>
    <w:basedOn w:val="17"/>
    <w:semiHidden/>
    <w:uiPriority w:val="9"/>
    <w:rPr>
      <w:rFonts w:asciiTheme="majorHAnsi" w:hAnsiTheme="majorHAnsi" w:eastAsiaTheme="majorEastAsia" w:cstheme="majorBidi"/>
      <w:b/>
      <w:bCs/>
      <w:sz w:val="32"/>
      <w:szCs w:val="32"/>
    </w:rPr>
  </w:style>
  <w:style w:type="character" w:customStyle="1" w:styleId="26">
    <w:name w:val="标题 2 Char"/>
    <w:link w:val="3"/>
    <w:uiPriority w:val="99"/>
    <w:rPr>
      <w:rFonts w:ascii="Arial" w:hAnsi="Arial" w:eastAsia="黑体" w:cs="Times New Roman"/>
      <w:b/>
      <w:bCs/>
      <w:sz w:val="32"/>
      <w:szCs w:val="32"/>
      <w:lang w:val="zh-CN"/>
    </w:rPr>
  </w:style>
  <w:style w:type="character" w:customStyle="1" w:styleId="27">
    <w:name w:val="标题 4 Char"/>
    <w:basedOn w:val="17"/>
    <w:link w:val="5"/>
    <w:semiHidden/>
    <w:uiPriority w:val="9"/>
    <w:rPr>
      <w:rFonts w:asciiTheme="majorHAnsi" w:hAnsiTheme="majorHAnsi" w:eastAsiaTheme="majorEastAsia" w:cstheme="majorBidi"/>
      <w:b/>
      <w:bCs/>
      <w:sz w:val="28"/>
      <w:szCs w:val="28"/>
    </w:rPr>
  </w:style>
  <w:style w:type="paragraph" w:customStyle="1" w:styleId="28">
    <w:name w:val="样式 样式 样式 样式 (中文) 楷体_GB2312 三号 加粗 段前: 7.8 磅 段后: 7.8 磅 行距: 固定值 29 ..."/>
    <w:basedOn w:val="1"/>
    <w:qFormat/>
    <w:uiPriority w:val="0"/>
    <w:pPr>
      <w:spacing w:before="120" w:after="120" w:line="580" w:lineRule="exact"/>
      <w:ind w:firstLine="200" w:firstLineChars="200"/>
      <w:outlineLvl w:val="1"/>
    </w:pPr>
    <w:rPr>
      <w:rFonts w:ascii="Times New Roman" w:hAnsi="Times New Roman" w:eastAsia="楷体_GB2312" w:cs="宋体"/>
      <w:b/>
      <w:bCs/>
      <w:sz w:val="32"/>
      <w:szCs w:val="20"/>
    </w:rPr>
  </w:style>
  <w:style w:type="paragraph" w:customStyle="1" w:styleId="29">
    <w:name w:val="专栏内容"/>
    <w:qFormat/>
    <w:uiPriority w:val="0"/>
    <w:pPr>
      <w:snapToGrid w:val="0"/>
      <w:spacing w:beforeLines="50" w:afterLines="50"/>
      <w:ind w:firstLine="200" w:firstLineChars="200"/>
      <w:jc w:val="both"/>
    </w:pPr>
    <w:rPr>
      <w:rFonts w:ascii="宋体" w:hAnsi="宋体" w:eastAsia="宋体" w:cs="Times New Roman"/>
      <w:kern w:val="2"/>
      <w:sz w:val="21"/>
      <w:szCs w:val="21"/>
      <w:lang w:val="en-US" w:eastAsia="zh-CN" w:bidi="ar-SA"/>
    </w:rPr>
  </w:style>
  <w:style w:type="paragraph" w:customStyle="1" w:styleId="30">
    <w:name w:val="专栏标题"/>
    <w:qFormat/>
    <w:uiPriority w:val="0"/>
    <w:pPr>
      <w:snapToGrid w:val="0"/>
      <w:jc w:val="center"/>
    </w:pPr>
    <w:rPr>
      <w:rFonts w:ascii="Times New Roman" w:hAnsi="Times New Roman" w:eastAsia="宋体" w:cs="Times New Roman"/>
      <w:b/>
      <w:kern w:val="2"/>
      <w:sz w:val="24"/>
      <w:szCs w:val="32"/>
      <w:lang w:val="en-US" w:eastAsia="zh-CN" w:bidi="ar-SA"/>
    </w:rPr>
  </w:style>
  <w:style w:type="character" w:customStyle="1" w:styleId="31">
    <w:name w:val="标题 1 Char"/>
    <w:basedOn w:val="17"/>
    <w:link w:val="2"/>
    <w:qFormat/>
    <w:uiPriority w:val="99"/>
    <w:rPr>
      <w:rFonts w:ascii="Calibri" w:hAnsi="Calibri" w:eastAsia="宋体" w:cs="Calibri"/>
      <w:b/>
      <w:bCs/>
      <w:kern w:val="44"/>
      <w:sz w:val="44"/>
      <w:szCs w:val="44"/>
      <w:lang w:val="zh-CN"/>
    </w:rPr>
  </w:style>
  <w:style w:type="paragraph" w:customStyle="1" w:styleId="3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lang w:val="en-US"/>
    </w:rPr>
  </w:style>
  <w:style w:type="character" w:customStyle="1" w:styleId="33">
    <w:name w:val="页眉 Char"/>
    <w:basedOn w:val="17"/>
    <w:link w:val="10"/>
    <w:uiPriority w:val="99"/>
    <w:rPr>
      <w:sz w:val="18"/>
      <w:szCs w:val="18"/>
    </w:rPr>
  </w:style>
  <w:style w:type="character" w:customStyle="1" w:styleId="34">
    <w:name w:val="页脚 Char"/>
    <w:basedOn w:val="17"/>
    <w:link w:val="9"/>
    <w:uiPriority w:val="99"/>
    <w:rPr>
      <w:sz w:val="18"/>
      <w:szCs w:val="18"/>
    </w:rPr>
  </w:style>
  <w:style w:type="character" w:customStyle="1" w:styleId="35">
    <w:name w:val="批注框文本 Char"/>
    <w:basedOn w:val="17"/>
    <w:link w:val="8"/>
    <w:semiHidden/>
    <w:uiPriority w:val="99"/>
    <w:rPr>
      <w:sz w:val="18"/>
      <w:szCs w:val="18"/>
    </w:rPr>
  </w:style>
  <w:style w:type="character" w:customStyle="1" w:styleId="36">
    <w:name w:val="标题 Char"/>
    <w:basedOn w:val="17"/>
    <w:link w:val="14"/>
    <w:qFormat/>
    <w:uiPriority w:val="0"/>
    <w:rPr>
      <w:rFonts w:ascii="等线 Light" w:hAnsi="等线 Light"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MBA\&#35770;&#25991;\&#35770;&#25991;&#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BA\&#35770;&#25991;\&#35770;&#25991;&#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Sheet2!$A$105</c:f>
              <c:strCache>
                <c:ptCount val="1"/>
                <c:pt idx="0">
                  <c:v>市场总成交(亿元)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Sheet2!$B$104:$F$104</c:f>
              <c:numCache>
                <c:formatCode>General</c:formatCode>
                <c:ptCount val="5"/>
                <c:pt idx="0">
                  <c:v>2015</c:v>
                </c:pt>
                <c:pt idx="1">
                  <c:v>2016</c:v>
                </c:pt>
                <c:pt idx="2">
                  <c:v>2017</c:v>
                </c:pt>
                <c:pt idx="3">
                  <c:v>2018</c:v>
                </c:pt>
                <c:pt idx="4">
                  <c:v>2019</c:v>
                </c:pt>
              </c:numCache>
            </c:numRef>
          </c:cat>
          <c:val>
            <c:numRef>
              <c:f>Sheet2!$B$105:$F$105</c:f>
              <c:numCache>
                <c:formatCode>General</c:formatCode>
                <c:ptCount val="5"/>
                <c:pt idx="0">
                  <c:v>1244.5</c:v>
                </c:pt>
                <c:pt idx="1">
                  <c:v>1371.7</c:v>
                </c:pt>
                <c:pt idx="2">
                  <c:v>1493.2</c:v>
                </c:pt>
                <c:pt idx="3">
                  <c:v>1593.1</c:v>
                </c:pt>
                <c:pt idx="4">
                  <c:v>1779.5</c:v>
                </c:pt>
              </c:numCache>
            </c:numRef>
          </c:val>
        </c:ser>
        <c:ser>
          <c:idx val="1"/>
          <c:order val="1"/>
          <c:tx>
            <c:strRef>
              <c:f>Sheet2!$A$107</c:f>
              <c:strCache>
                <c:ptCount val="1"/>
                <c:pt idx="0">
                  <c:v>中国小商品城(亿元)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Sheet2!$B$104:$F$104</c:f>
              <c:numCache>
                <c:formatCode>General</c:formatCode>
                <c:ptCount val="5"/>
                <c:pt idx="0">
                  <c:v>2015</c:v>
                </c:pt>
                <c:pt idx="1">
                  <c:v>2016</c:v>
                </c:pt>
                <c:pt idx="2">
                  <c:v>2017</c:v>
                </c:pt>
                <c:pt idx="3">
                  <c:v>2018</c:v>
                </c:pt>
                <c:pt idx="4">
                  <c:v>2019</c:v>
                </c:pt>
              </c:numCache>
            </c:numRef>
          </c:cat>
          <c:val>
            <c:numRef>
              <c:f>Sheet2!$B$107:$F$107</c:f>
              <c:numCache>
                <c:formatCode>General</c:formatCode>
                <c:ptCount val="5"/>
                <c:pt idx="0">
                  <c:v>982.2</c:v>
                </c:pt>
                <c:pt idx="1">
                  <c:v>1105.8</c:v>
                </c:pt>
                <c:pt idx="2">
                  <c:v>1226</c:v>
                </c:pt>
                <c:pt idx="3">
                  <c:v>1358.4</c:v>
                </c:pt>
                <c:pt idx="4">
                  <c:v>1537.4</c:v>
                </c:pt>
              </c:numCache>
            </c:numRef>
          </c:val>
        </c:ser>
        <c:ser>
          <c:idx val="2"/>
          <c:order val="2"/>
          <c:tx>
            <c:strRef>
              <c:f>Sheet2!$A$109</c:f>
              <c:strCache>
                <c:ptCount val="1"/>
                <c:pt idx="0">
                  <c:v>进出口总额(亿元)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Sheet2!$B$104:$F$104</c:f>
              <c:numCache>
                <c:formatCode>General</c:formatCode>
                <c:ptCount val="5"/>
                <c:pt idx="0">
                  <c:v>2015</c:v>
                </c:pt>
                <c:pt idx="1">
                  <c:v>2016</c:v>
                </c:pt>
                <c:pt idx="2">
                  <c:v>2017</c:v>
                </c:pt>
                <c:pt idx="3">
                  <c:v>2018</c:v>
                </c:pt>
                <c:pt idx="4">
                  <c:v>2019</c:v>
                </c:pt>
              </c:numCache>
            </c:numRef>
          </c:cat>
          <c:val>
            <c:numRef>
              <c:f>Sheet2!$B$109:$F$109</c:f>
              <c:numCache>
                <c:formatCode>0.0</c:formatCode>
                <c:ptCount val="5"/>
                <c:pt idx="0">
                  <c:v>2327</c:v>
                </c:pt>
                <c:pt idx="1" c:formatCode="General">
                  <c:v>2229.5</c:v>
                </c:pt>
                <c:pt idx="2" c:formatCode="General">
                  <c:v>2339.4</c:v>
                </c:pt>
                <c:pt idx="3" c:formatCode="General">
                  <c:v>2560</c:v>
                </c:pt>
                <c:pt idx="4" c:formatCode="General">
                  <c:v>2967.8</c:v>
                </c:pt>
              </c:numCache>
            </c:numRef>
          </c:val>
        </c:ser>
        <c:ser>
          <c:idx val="3"/>
          <c:order val="3"/>
          <c:tx>
            <c:strRef>
              <c:f>Sheet2!$A$111</c:f>
              <c:strCache>
                <c:ptCount val="1"/>
                <c:pt idx="0">
                  <c:v>电商成交额(亿元)</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Sheet2!$B$104:$F$104</c:f>
              <c:numCache>
                <c:formatCode>General</c:formatCode>
                <c:ptCount val="5"/>
                <c:pt idx="0">
                  <c:v>2015</c:v>
                </c:pt>
                <c:pt idx="1">
                  <c:v>2016</c:v>
                </c:pt>
                <c:pt idx="2">
                  <c:v>2017</c:v>
                </c:pt>
                <c:pt idx="3">
                  <c:v>2018</c:v>
                </c:pt>
                <c:pt idx="4">
                  <c:v>2019</c:v>
                </c:pt>
              </c:numCache>
            </c:numRef>
          </c:cat>
          <c:val>
            <c:numRef>
              <c:f>Sheet2!$B$111:$F$111</c:f>
              <c:numCache>
                <c:formatCode>General</c:formatCode>
                <c:ptCount val="5"/>
                <c:pt idx="0">
                  <c:v>1511</c:v>
                </c:pt>
                <c:pt idx="1">
                  <c:v>1770</c:v>
                </c:pt>
                <c:pt idx="2" c:formatCode="0">
                  <c:v>2220</c:v>
                </c:pt>
                <c:pt idx="3">
                  <c:v>2368.3</c:v>
                </c:pt>
                <c:pt idx="4">
                  <c:v>2768.9</c:v>
                </c:pt>
              </c:numCache>
            </c:numRef>
          </c:val>
        </c:ser>
        <c:dLbls>
          <c:showLegendKey val="0"/>
          <c:showVal val="1"/>
          <c:showCatName val="0"/>
          <c:showSerName val="0"/>
          <c:showPercent val="0"/>
          <c:showBubbleSize val="0"/>
        </c:dLbls>
        <c:gapWidth val="199"/>
        <c:axId val="124696064"/>
        <c:axId val="124697600"/>
      </c:barChart>
      <c:catAx>
        <c:axId val="1246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altLang="en-US" sz="1000" b="1" i="0" u="none" strike="noStrike" kern="1200" cap="none" spc="0" normalizeH="0" baseline="0">
                <a:solidFill>
                  <a:sysClr val="windowText" lastClr="000000"/>
                </a:solidFill>
                <a:latin typeface="Times New Roman" panose="02020603050405020304" charset="0"/>
                <a:ea typeface="+mn-ea"/>
                <a:cs typeface="Times New Roman" panose="02020603050405020304" charset="0"/>
              </a:defRPr>
            </a:pPr>
          </a:p>
        </c:txPr>
        <c:crossAx val="124697600"/>
        <c:crosses val="autoZero"/>
        <c:auto val="1"/>
        <c:lblAlgn val="ctr"/>
        <c:lblOffset val="100"/>
        <c:noMultiLvlLbl val="0"/>
      </c:catAx>
      <c:valAx>
        <c:axId val="124697600"/>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no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4696064"/>
        <c:crosses val="autoZero"/>
        <c:crossBetween val="between"/>
        <c:majorUnit val="55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Sheet2!$A$115</c:f>
              <c:strCache>
                <c:ptCount val="1"/>
                <c:pt idx="0">
                  <c:v>商贸物流量(百万吨)</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Sheet2!$B$114:$F$114</c:f>
              <c:numCache>
                <c:formatCode>General</c:formatCode>
                <c:ptCount val="5"/>
                <c:pt idx="0">
                  <c:v>2015</c:v>
                </c:pt>
                <c:pt idx="1">
                  <c:v>2016</c:v>
                </c:pt>
                <c:pt idx="2">
                  <c:v>2017</c:v>
                </c:pt>
                <c:pt idx="3">
                  <c:v>2018</c:v>
                </c:pt>
                <c:pt idx="4">
                  <c:v>2019</c:v>
                </c:pt>
              </c:numCache>
            </c:numRef>
          </c:cat>
          <c:val>
            <c:numRef>
              <c:f>Sheet2!$B$115:$F$115</c:f>
              <c:numCache>
                <c:formatCode>General</c:formatCode>
                <c:ptCount val="5"/>
                <c:pt idx="0">
                  <c:v>64.1</c:v>
                </c:pt>
                <c:pt idx="1">
                  <c:v>65.6</c:v>
                </c:pt>
                <c:pt idx="2">
                  <c:v>68.1</c:v>
                </c:pt>
                <c:pt idx="3">
                  <c:v>73.4</c:v>
                </c:pt>
                <c:pt idx="4">
                  <c:v>82.2</c:v>
                </c:pt>
              </c:numCache>
            </c:numRef>
          </c:val>
        </c:ser>
        <c:ser>
          <c:idx val="1"/>
          <c:order val="1"/>
          <c:tx>
            <c:strRef>
              <c:f>Sheet2!$A$116</c:f>
              <c:strCache>
                <c:ptCount val="1"/>
                <c:pt idx="0">
                  <c:v>出口集装箱量(万标箱)</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Sheet2!$B$114:$F$114</c:f>
              <c:numCache>
                <c:formatCode>General</c:formatCode>
                <c:ptCount val="5"/>
                <c:pt idx="0">
                  <c:v>2015</c:v>
                </c:pt>
                <c:pt idx="1">
                  <c:v>2016</c:v>
                </c:pt>
                <c:pt idx="2">
                  <c:v>2017</c:v>
                </c:pt>
                <c:pt idx="3">
                  <c:v>2018</c:v>
                </c:pt>
                <c:pt idx="4">
                  <c:v>2019</c:v>
                </c:pt>
              </c:numCache>
            </c:numRef>
          </c:cat>
          <c:val>
            <c:numRef>
              <c:f>Sheet2!$B$116:$F$116</c:f>
              <c:numCache>
                <c:formatCode>General</c:formatCode>
                <c:ptCount val="5"/>
                <c:pt idx="0">
                  <c:v>83.9</c:v>
                </c:pt>
                <c:pt idx="1">
                  <c:v>88.6</c:v>
                </c:pt>
                <c:pt idx="2">
                  <c:v>92.7</c:v>
                </c:pt>
                <c:pt idx="3">
                  <c:v>107.5</c:v>
                </c:pt>
                <c:pt idx="4">
                  <c:v>122.92</c:v>
                </c:pt>
              </c:numCache>
            </c:numRef>
          </c:val>
        </c:ser>
        <c:ser>
          <c:idx val="2"/>
          <c:order val="2"/>
          <c:tx>
            <c:strRef>
              <c:f>Sheet2!$A$117</c:f>
              <c:strCache>
                <c:ptCount val="1"/>
                <c:pt idx="0">
                  <c:v>邮政快递业务量(亿件)</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Sheet2!$B$114:$F$114</c:f>
              <c:numCache>
                <c:formatCode>General</c:formatCode>
                <c:ptCount val="5"/>
                <c:pt idx="0">
                  <c:v>2015</c:v>
                </c:pt>
                <c:pt idx="1">
                  <c:v>2016</c:v>
                </c:pt>
                <c:pt idx="2">
                  <c:v>2017</c:v>
                </c:pt>
                <c:pt idx="3">
                  <c:v>2018</c:v>
                </c:pt>
                <c:pt idx="4">
                  <c:v>2019</c:v>
                </c:pt>
              </c:numCache>
            </c:numRef>
          </c:cat>
          <c:val>
            <c:numRef>
              <c:f>Sheet2!$B$117:$F$117</c:f>
              <c:numCache>
                <c:formatCode>General</c:formatCode>
                <c:ptCount val="5"/>
                <c:pt idx="0">
                  <c:v>5.64</c:v>
                </c:pt>
                <c:pt idx="1">
                  <c:v>10.3</c:v>
                </c:pt>
                <c:pt idx="2">
                  <c:v>19.08</c:v>
                </c:pt>
                <c:pt idx="3">
                  <c:v>29</c:v>
                </c:pt>
                <c:pt idx="4">
                  <c:v>49.91</c:v>
                </c:pt>
              </c:numCache>
            </c:numRef>
          </c:val>
        </c:ser>
        <c:dLbls>
          <c:showLegendKey val="0"/>
          <c:showVal val="1"/>
          <c:showCatName val="0"/>
          <c:showSerName val="0"/>
          <c:showPercent val="0"/>
          <c:showBubbleSize val="0"/>
        </c:dLbls>
        <c:gapWidth val="199"/>
        <c:axId val="202069888"/>
        <c:axId val="202071424"/>
      </c:barChart>
      <c:catAx>
        <c:axId val="20206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altLang="en-US" sz="1000" b="1" i="0" u="none" strike="noStrike" kern="1200" cap="none" spc="0" normalizeH="0" baseline="0">
                <a:solidFill>
                  <a:sysClr val="windowText" lastClr="000000"/>
                </a:solidFill>
                <a:latin typeface="Times New Roman" panose="02020603050405020304" charset="0"/>
                <a:ea typeface="+mn-ea"/>
                <a:cs typeface="Times New Roman" panose="02020603050405020304" charset="0"/>
              </a:defRPr>
            </a:pPr>
          </a:p>
        </c:txPr>
        <c:crossAx val="202071424"/>
        <c:crosses val="autoZero"/>
        <c:auto val="1"/>
        <c:lblAlgn val="ctr"/>
        <c:lblOffset val="100"/>
        <c:noMultiLvlLbl val="0"/>
      </c:catAx>
      <c:valAx>
        <c:axId val="202071424"/>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no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0698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AF48-9D38-47ED-9DAA-F90FA35143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23491</Words>
  <Characters>24248</Characters>
  <Lines>195</Lines>
  <Paragraphs>55</Paragraphs>
  <TotalTime>2</TotalTime>
  <ScaleCrop>false</ScaleCrop>
  <LinksUpToDate>false</LinksUpToDate>
  <CharactersWithSpaces>24416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2021-01-13T06:36:00Z</dcterms:created>
  <dc:creator>xuyingming</dc:creator>
  <cp:lastModifiedBy>龚秀娟</cp:lastModifiedBy>
  <dcterms:modified xsi:type="dcterms:W3CDTF">2023-04-28T01:48:36Z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A95FCF73BB684E0682DB978EDB925A06_12</vt:lpwstr>
  </property>
</Properties>
</file>