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小标宋简体"/>
          <w:color w:val="000000"/>
          <w:spacing w:val="20"/>
          <w:sz w:val="44"/>
          <w:szCs w:val="44"/>
        </w:rPr>
      </w:pPr>
      <w:r>
        <w:rPr>
          <w:rFonts w:eastAsia="方正小标宋简体"/>
          <w:color w:val="000000"/>
          <w:spacing w:val="20"/>
          <w:sz w:val="44"/>
          <w:szCs w:val="44"/>
        </w:rPr>
        <w:t>证券期货机构年度考核评分表</w:t>
      </w:r>
    </w:p>
    <w:tbl>
      <w:tblPr>
        <w:tblStyle w:val="2"/>
        <w:tblW w:w="14705" w:type="dxa"/>
        <w:jc w:val="center"/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933"/>
        <w:gridCol w:w="1260"/>
        <w:gridCol w:w="11512"/>
      </w:tblGrid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60" w:hRule="atLeast"/>
          <w:tblHeader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00" w:hRule="atLeast"/>
          <w:jc w:val="center"/>
        </w:trPr>
        <w:tc>
          <w:tcPr>
            <w:tcW w:w="1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税收贡献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5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对证券期货机构全年纳税额进行考核，纳税额最高的证券期货机构得20分，其他证券期货机构以最高纳税额为标准值，按比例相应计分；对证券期货机构全年纳税额同比增速进行考核，增速最高的证券期货机构得10分，第二至十名依次递减1分，其余不计分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0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资本市场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5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协助企业开展上市（含借壳上市）和并购重组、新三板挂牌、浙江省股权交易中心挂牌的，每例分别得10分、5分、2分，其中科创板、创业板上市的额外加10分，上市挂牌签约每例得分减半；协助企业开展直接融资和股权质押融资，国企每例得2分，民企每例得3分，规模在1000万元以下的，得分减半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80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招商引资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512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鼓励证券期货机构参与招商引资，向镇街部门平台提供有效招商引资项目信息并协助推动项目落地，根据有效信息数、落地项目数、项目金额进行综合测评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活动举办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512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举办金融论坛每场得3分，协助举办上市挂牌培训等活动每场得1分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800" w:hRule="atLeas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信息数据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对证券期货机构上报信息数进行考核，经认定有效的，每报送1篇得1分，最高不超过5分；每月金融数据存在</w:t>
            </w:r>
            <w:r>
              <w:rPr>
                <w:rFonts w:eastAsia="仿宋_GB2312"/>
                <w:color w:val="000000"/>
                <w:sz w:val="24"/>
              </w:rPr>
              <w:t>错报、漏报、迟报的，每次扣1分</w:t>
            </w:r>
            <w:r>
              <w:rPr>
                <w:rFonts w:hint="eastAsia"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党建工作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根据</w:t>
            </w:r>
            <w:r>
              <w:rPr>
                <w:rFonts w:hint="eastAsia" w:eastAsia="仿宋_GB2312"/>
                <w:color w:val="000000"/>
                <w:sz w:val="24"/>
              </w:rPr>
              <w:t>金融系统党建云联盟党建工作开展情况进行综合赋分。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7308"/>
    <w:rsid w:val="372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2021-11-02T06:26:00Z</dcterms:created>
  <dc:creator>龚秀娟</dc:creator>
  <cp:lastModifiedBy>龚秀娟</cp:lastModifiedBy>
  <dcterms:modified xsi:type="dcterms:W3CDTF">2021-11-02T06:26:34Z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2ABFCF5A51CC422CBB3229F26B2B46C7</vt:lpwstr>
  </property>
</Properties>
</file>