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义乌市级重大政策事前绩效评估报告</w:t>
      </w: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政策名称：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单位名称（章）：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主管部门：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评估组/评估机构（章）：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评估日期：</w:t>
      </w:r>
    </w:p>
    <w:p>
      <w:pPr>
        <w:spacing w:line="590" w:lineRule="exact"/>
        <w:ind w:left="84" w:leftChars="40" w:firstLine="53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28"/>
        </w:rPr>
        <w:br w:type="page"/>
      </w: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一、评估对象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包括政策的名称及概况；政策绩效目标；政策资金构成等。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二、事前绩效评估的基本情况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（一）评估程序。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（二）评估方式。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（三）评估方法。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三、评估内容和结论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（一）立项必要性。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.主要的立项依据。如：相关政策；职能和规划等。同时，要明确依据的时效性。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.政策的现实需求。政策实施所针对的问题：如当前存在的短板和问题；政策实施后将解决哪些问题等。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.是否有确定的服务对象或受益对象。 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.可替代性。政策是否可通过市场替代；是否属于非竞争领域，是否具有公益性属性；财权与事权是否匹配，是否应由本级财政保障等。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（二）投入经济性。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明确细化资金测算并在各子项中分解。资金测算应尽量明确标准、单价、数量等。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（三）绩效目标合理性。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.明确总体目标和分年度目标。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.政策目标稳定性和持续性，如：政策总体执行期限、政策当前所处阶段以及政策后期逐步退出安排等。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.明确产出指标和效益指标，并细化量化。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（四）实施方案可行性。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政策是否有具体的操作方案或实施细则。对可能遇到的技术风险、协调风险、政策风险、组织风险、资金风险等是否有应对举措。是否有明确的责任主体和责任人。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（五）筹资合规性。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.财政性资金支持方式及相关配套经费保障渠道的可行性。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.如果有负债，是否符合地方政府债务管理相关规定。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eastAsia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.按规定需开展财政承受能力评估和债务风险评估的，应进行财政承受能力评估和债务风险评估。</w:t>
      </w:r>
    </w:p>
    <w:p>
      <w:pPr>
        <w:spacing w:line="590" w:lineRule="exact"/>
        <w:ind w:firstLine="616" w:firstLineChars="200"/>
        <w:jc w:val="both"/>
        <w:rPr>
          <w:rFonts w:hint="eastAsia" w:ascii="楷体_GB2312" w:eastAsia="楷体_GB2312"/>
          <w:spacing w:val="-6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6"/>
          <w:sz w:val="32"/>
          <w:szCs w:val="32"/>
          <w:lang w:val="en-US" w:eastAsia="zh-CN"/>
        </w:rPr>
        <w:t>（六）总体结论。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四、评估的相关建议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对政策的建议。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五、其他需要说明的问题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（阐述评估工作基本前提、假设、报告适用范围、相关责任以及需要说明的其他问题等）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六、评估人员签名</w:t>
      </w:r>
    </w:p>
    <w:p>
      <w:pPr>
        <w:spacing w:line="590" w:lineRule="exact"/>
        <w:ind w:firstLine="616" w:firstLineChars="200"/>
        <w:jc w:val="both"/>
        <w:rPr>
          <w:rFonts w:hint="eastAsia" w:asci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七、附件材料</w:t>
      </w:r>
    </w:p>
    <w:p>
      <w:pPr>
        <w:spacing w:line="590" w:lineRule="exact"/>
        <w:ind w:firstLine="616" w:firstLineChars="200"/>
        <w:jc w:val="both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（政策相关申报资料等）</w:t>
      </w: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DA24EC3"/>
    <w:rsid w:val="3DA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2022-07-26T07:58:00Z</dcterms:created>
  <dc:creator>龚秀娟</dc:creator>
  <cp:lastModifiedBy>龚秀娟</cp:lastModifiedBy>
  <dcterms:modified xsi:type="dcterms:W3CDTF">2022-07-26T07:59:52Z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D9FF4B466E2C46FB9BCB71970DA3C167</vt:lpwstr>
  </property>
</Properties>
</file>