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eastAsia="方正小标宋简体"/>
          <w:snapToGrid w:val="0"/>
          <w:spacing w:val="20"/>
          <w:kern w:val="0"/>
          <w:sz w:val="44"/>
          <w:szCs w:val="44"/>
        </w:rPr>
      </w:pPr>
      <w:bookmarkStart w:id="0" w:name="_GoBack"/>
      <w:r>
        <w:rPr>
          <w:rFonts w:eastAsia="方正小标宋简体"/>
          <w:snapToGrid w:val="0"/>
          <w:spacing w:val="20"/>
          <w:kern w:val="0"/>
          <w:sz w:val="44"/>
          <w:szCs w:val="44"/>
        </w:rPr>
        <w:t>单位主要污染物排放工业增加值</w:t>
      </w:r>
    </w:p>
    <w:p>
      <w:pPr>
        <w:spacing w:line="700" w:lineRule="exact"/>
        <w:jc w:val="center"/>
        <w:rPr>
          <w:rFonts w:eastAsia="方正小标宋简体"/>
          <w:snapToGrid w:val="0"/>
          <w:spacing w:val="20"/>
          <w:kern w:val="0"/>
          <w:sz w:val="44"/>
          <w:szCs w:val="44"/>
        </w:rPr>
      </w:pPr>
      <w:r>
        <w:rPr>
          <w:rFonts w:eastAsia="方正小标宋简体"/>
          <w:snapToGrid w:val="0"/>
          <w:spacing w:val="20"/>
          <w:kern w:val="0"/>
          <w:sz w:val="44"/>
          <w:szCs w:val="44"/>
        </w:rPr>
        <w:t>指标评价计算办法</w:t>
      </w:r>
    </w:p>
    <w:bookmarkEnd w:id="0"/>
    <w:p>
      <w:pPr>
        <w:spacing w:line="400" w:lineRule="exact"/>
        <w:rPr>
          <w:rFonts w:hint="eastAsia" w:ascii="仿宋_GB2312" w:hAnsi="宋体" w:eastAsia="仿宋_GB2312"/>
          <w:spacing w:val="-6"/>
          <w:sz w:val="32"/>
        </w:rPr>
      </w:pPr>
    </w:p>
    <w:p>
      <w:pPr>
        <w:spacing w:line="560" w:lineRule="exact"/>
        <w:ind w:firstLine="616" w:firstLineChars="200"/>
        <w:rPr>
          <w:rFonts w:eastAsia="黑体"/>
          <w:snapToGrid w:val="0"/>
          <w:spacing w:val="-6"/>
          <w:kern w:val="0"/>
          <w:sz w:val="32"/>
          <w:szCs w:val="32"/>
        </w:rPr>
      </w:pPr>
      <w:r>
        <w:rPr>
          <w:rFonts w:eastAsia="黑体"/>
          <w:snapToGrid w:val="0"/>
          <w:spacing w:val="-6"/>
          <w:kern w:val="0"/>
          <w:sz w:val="32"/>
          <w:szCs w:val="32"/>
        </w:rPr>
        <w:t>一、指标计算方法</w:t>
      </w:r>
    </w:p>
    <w:p>
      <w:pPr>
        <w:spacing w:line="56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单位主要污染物排放工业增加值指标得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分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＝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基本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分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－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扣分</w:t>
      </w:r>
    </w:p>
    <w:p>
      <w:pPr>
        <w:spacing w:line="560" w:lineRule="exact"/>
        <w:ind w:firstLine="616" w:firstLineChars="200"/>
        <w:rPr>
          <w:rFonts w:eastAsia="黑体"/>
          <w:snapToGrid w:val="0"/>
          <w:spacing w:val="-6"/>
          <w:kern w:val="0"/>
          <w:sz w:val="32"/>
          <w:szCs w:val="32"/>
        </w:rPr>
      </w:pPr>
      <w:r>
        <w:rPr>
          <w:rFonts w:eastAsia="黑体"/>
          <w:snapToGrid w:val="0"/>
          <w:spacing w:val="-6"/>
          <w:kern w:val="0"/>
          <w:sz w:val="32"/>
          <w:szCs w:val="32"/>
        </w:rPr>
        <w:t>二、指标说明</w:t>
      </w:r>
    </w:p>
    <w:p>
      <w:pPr>
        <w:spacing w:line="560" w:lineRule="exact"/>
        <w:ind w:firstLine="616" w:firstLineChars="200"/>
        <w:rPr>
          <w:rFonts w:eastAsia="楷体_GB2312"/>
          <w:bCs/>
          <w:snapToGrid w:val="0"/>
          <w:spacing w:val="-6"/>
          <w:kern w:val="0"/>
          <w:sz w:val="32"/>
          <w:szCs w:val="32"/>
        </w:rPr>
      </w:pPr>
      <w:r>
        <w:rPr>
          <w:rFonts w:eastAsia="楷体_GB2312"/>
          <w:bCs/>
          <w:snapToGrid w:val="0"/>
          <w:spacing w:val="-6"/>
          <w:kern w:val="0"/>
          <w:sz w:val="32"/>
          <w:szCs w:val="32"/>
        </w:rPr>
        <w:t>（一）基本分</w:t>
      </w:r>
    </w:p>
    <w:p>
      <w:pPr>
        <w:spacing w:line="56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根据上年单位主要污染物排放工业增加值，对配套印染、专业印染、电镀三个重点污染行业和其他涉水（包括既涉水又涉气）污染企业、仅涉气企业共五个类别分别排名，同类别内排名按从高到低20%、50%、20%、10%企业数赋分，得分分别为10分、9分、8分、7分。</w:t>
      </w:r>
    </w:p>
    <w:p>
      <w:pPr>
        <w:spacing w:line="560" w:lineRule="exact"/>
        <w:ind w:firstLine="396" w:firstLineChars="200"/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</w:pPr>
      <w:r>
        <w:rPr>
          <w:spacing w:val="-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543560</wp:posOffset>
            </wp:positionV>
            <wp:extent cx="6057900" cy="4953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单位主要污染物排放工业增加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值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＝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非污染企业的基本分为10分。</w:t>
      </w:r>
    </w:p>
    <w:p>
      <w:pPr>
        <w:spacing w:line="590" w:lineRule="exact"/>
        <w:ind w:firstLine="616" w:firstLineChars="200"/>
        <w:rPr>
          <w:rFonts w:eastAsia="楷体_GB2312"/>
          <w:bCs/>
          <w:snapToGrid w:val="0"/>
          <w:spacing w:val="-6"/>
          <w:kern w:val="0"/>
          <w:sz w:val="32"/>
          <w:szCs w:val="32"/>
        </w:rPr>
      </w:pPr>
      <w:r>
        <w:rPr>
          <w:rFonts w:eastAsia="楷体_GB2312"/>
          <w:bCs/>
          <w:snapToGrid w:val="0"/>
          <w:spacing w:val="-6"/>
          <w:kern w:val="0"/>
          <w:sz w:val="32"/>
          <w:szCs w:val="32"/>
        </w:rPr>
        <w:t>（二）扣分项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1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当年环境违法行为处罚一次扣0.5分；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2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.当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年有恶意偷排行为一次扣1分；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3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当年有环保涉刑事案件一次扣2分；</w:t>
      </w:r>
    </w:p>
    <w:p>
      <w:r>
        <w:rPr>
          <w:rFonts w:eastAsia="仿宋_GB2312"/>
          <w:snapToGrid w:val="0"/>
          <w:spacing w:val="-6"/>
          <w:kern w:val="0"/>
          <w:sz w:val="32"/>
          <w:szCs w:val="32"/>
        </w:rPr>
        <w:t>4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同一违法行为符合多项扣分条件的，按最高分值扣分。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67C86DA1"/>
    <w:rsid w:val="67C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2022-06-02T07:17:00Z</dcterms:created>
  <dc:creator>龚秀娟</dc:creator>
  <cp:lastModifiedBy>龚秀娟</cp:lastModifiedBy>
  <dcterms:modified xsi:type="dcterms:W3CDTF">2022-06-02T07:17:44Z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BAA17AC46CE14F15A10F7E1E6259003A</vt:lpwstr>
  </property>
</Properties>
</file>