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color w:val="000000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eastAsia="方正小标宋简体"/>
          <w:color w:val="000000"/>
          <w:spacing w:val="20"/>
          <w:kern w:val="0"/>
          <w:sz w:val="44"/>
          <w:szCs w:val="44"/>
          <w:lang w:val="en-US" w:eastAsia="zh-CN" w:bidi="ar"/>
        </w:rPr>
        <w:t>挂牌整治</w:t>
      </w:r>
      <w:r>
        <w:rPr>
          <w:rFonts w:eastAsia="方正小标宋简体"/>
          <w:color w:val="000000"/>
          <w:spacing w:val="20"/>
          <w:kern w:val="0"/>
          <w:sz w:val="44"/>
          <w:szCs w:val="44"/>
          <w:lang w:val="en-US" w:eastAsia="zh-CN" w:bidi="ar"/>
        </w:rPr>
        <w:t>任务清单</w:t>
      </w:r>
    </w:p>
    <w:p>
      <w:pPr>
        <w:spacing w:line="59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tbl>
      <w:tblPr>
        <w:tblStyle w:val="4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507"/>
        <w:gridCol w:w="8790"/>
        <w:gridCol w:w="156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50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工作任务</w:t>
            </w: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工作举措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责任单位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建强基层消防工作力量</w:t>
            </w:r>
          </w:p>
        </w:tc>
        <w:tc>
          <w:tcPr>
            <w:tcW w:w="8790" w:type="dxa"/>
            <w:shd w:val="clear" w:color="auto" w:fill="auto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both"/>
              <w:rPr>
                <w:rFonts w:eastAsia="仿宋_GB2312"/>
                <w:color w:val="000000"/>
                <w:spacing w:val="-2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spacing w:val="-2"/>
                <w:kern w:val="0"/>
                <w:sz w:val="24"/>
                <w:lang w:val="en-US" w:eastAsia="zh-CN" w:bidi="ar"/>
              </w:rPr>
              <w:t>进一步完善消防工作站建设，配齐配强专职工作人员，确保消防工作有人管、有人抓。</w:t>
            </w:r>
          </w:p>
        </w:tc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稠江、北苑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、江东、福田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将消防工作纳入基层平安巡防、网格管理的内容，融入社区应急管理体系改革，明确社区消防工作职责，力争10月底前所有微型消防站覆盖每个村、社区，且各微型消防站实地场所达到文明城市创建中要求的测评标准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建立消防安全联防联控机制，依托街道政府专职消防队、志愿消防队、微型消防站、护村队、巡逻队等基层力量成立巡查防控力量，重点敏感时期、重要节假日对企业集中区域、民房集中区域开展夜间巡防。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常态化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加快推进消防委托执法进程，确保有人员、有资质和有场地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50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全面开展消防安全隐患大清查</w:t>
            </w: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分析研判本地火灾高发的原因和重点区域，梳理出问题清单，逐项制定整改措施。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50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全面开展消防安全隐患大清查</w:t>
            </w: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组织消防工作站人员、基层网格员每周开展沿街店面消防安全隐患排查不少于1天，每次排查单位数量不少于20家次。</w:t>
            </w:r>
          </w:p>
        </w:tc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稠江、北苑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、江东、福田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80" w:lineRule="exact"/>
              <w:ind w:firstLine="44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结合自建房安全专项整治工作，组织基层力量对居民住宅小区、村（居）民房、出租房等场所开展隐患排查整治工作，建立隐患清单，每周检查不少于2次。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对照隐患清单，逐条落实整改责任和措施，全面完成隐患整改，落实整改闭环。9月底前将自建房隐患排查表上报至市消安委办。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结合高层建筑重大火灾风险专项整治工作，针对高层商住混合体、高层住宅、超高层建筑、高层公共建筑、高层工业建筑等5类对象，全面开展排查整治，建立工作台账，9月15日前将高层建筑风险排查表上报至市消安委办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针对排查过程中发现的高层建筑突出火灾隐患，要建立风险隐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 w:bidi="ar"/>
              </w:rPr>
              <w:t>患“四张清单”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（问题清单、整改措施、责任单位和完成时限），并于9月15日、9月30日前将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 w:bidi="ar"/>
              </w:rPr>
              <w:t>“四张清单”各报送一次至市消安委办。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9月底前完成辖区高层建筑电动自行车电梯轿厢系统的年度安装任务。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结合重点行业工业企业专项整治工作，每个街道要挂牌整治至少3家存在重大消防安全隐患的企业或1处企业集中区域，建立隐患整改清单，督促企业严格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 w:bidi="ar"/>
              </w:rPr>
              <w:t>落实“三自主两公开一承诺”。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重点曝光企业消防安全隐患突出问题或企业典型违法案例不少于1起。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50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全面开展消防安全隐患大清查</w:t>
            </w: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9月底前，完成金华市挂牌的重大火灾隐患工业企业隐患整改清零工作。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北苑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福田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针对辖区物流仓储企业和小微（电商）产业园开展一次问题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 w:bidi="ar"/>
              </w:rPr>
              <w:t>隐患“回头看”，并建立隐患清单。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稠江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、福田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针对前期小微（电商）产业园开展一次问题隐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 w:bidi="ar"/>
              </w:rPr>
              <w:t>患“回头看”，并建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立隐患清单。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北苑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10月底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加大针对电动自行车的检查力度，每周开展不少于1次的集中夜查，对于飞线充电及电动自行车违规停放拒不整改要采取严厉打击措施。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稠江、北苑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、江东、福田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对排摸出来的密室逃脱、剧本杀等场所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 w:bidi="ar"/>
              </w:rPr>
              <w:t>开展“回头看”，对问题隐患突出或整改不到位单位，予以曝光、关停。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稠江、北苑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5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全面开展消防安全常识大宣传</w:t>
            </w: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利用乡村大喇叭每日早晚各一次播报消防安全提醒，每次时长不少于10分钟。</w:t>
            </w:r>
          </w:p>
        </w:tc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稠江、北苑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、江东、福田</w:t>
            </w: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常态化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辖区发生出租房、厂房等火灾事故后，要会同行业部门组织村（居）委责任人、网格员、辖区企业及时召开现场警示教育会。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常态化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发动基层力量开展消防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 w:bidi="ar"/>
              </w:rPr>
              <w:t>安全“敲门行动”等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入户宣传活动，帮助查改火灾隐患，开展逃生自救能力宣传培训，有效提升群众消防安全知晓率。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常态化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5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7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eastAsia="仿宋_GB2312"/>
                <w:color w:val="000000"/>
                <w:spacing w:val="-4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spacing w:val="-4"/>
                <w:kern w:val="0"/>
                <w:sz w:val="24"/>
                <w:lang w:val="en-US" w:eastAsia="zh-CN" w:bidi="ar"/>
              </w:rPr>
              <w:t>组织工业园区管理人、企业负责人、消防安全管理人开展一次全覆盖的消防安全培训。</w:t>
            </w: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440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7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9月底</w:t>
            </w:r>
          </w:p>
        </w:tc>
      </w:tr>
    </w:tbl>
    <w:p>
      <w:pPr>
        <w:spacing w:line="59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p>
      <w:pPr>
        <w:spacing w:line="59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  <w:sectPr>
          <w:footerReference r:id="rId3" w:type="default"/>
          <w:pgSz w:w="16838" w:h="11906" w:orient="landscape"/>
          <w:pgMar w:top="1985" w:right="1361" w:bottom="1588" w:left="1644" w:header="851" w:footer="141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07" w:wrap="around" w:vAnchor="text" w:hAnchor="page" w:x="13649" w:y="100"/>
      <w:jc w:val="left"/>
      <w:rPr>
        <w:rStyle w:val="6"/>
        <w:rFonts w:ascii="宋体" w:hAnsi="宋体"/>
        <w:sz w:val="28"/>
        <w:szCs w:val="28"/>
        <w:lang w:val="en-US" w:eastAsia="zh-CN"/>
      </w:rPr>
    </w:pPr>
    <w:r>
      <w:rPr>
        <w:rStyle w:val="6"/>
        <w:rFonts w:hint="eastAsia" w:ascii="宋体" w:hAnsi="宋体"/>
        <w:sz w:val="28"/>
        <w:szCs w:val="28"/>
        <w:lang w:val="en-US" w:eastAsia="zh-CN"/>
      </w:rPr>
      <w:t xml:space="preserve">— </w:t>
    </w:r>
    <w:r>
      <w:rPr>
        <w:rStyle w:val="6"/>
        <w:rFonts w:ascii="宋体" w:hAnsi="宋体"/>
        <w:sz w:val="28"/>
        <w:szCs w:val="28"/>
        <w:lang w:val="en-US" w:eastAsia="zh-CN"/>
      </w:rPr>
      <w:fldChar w:fldCharType="begin"/>
    </w:r>
    <w:r>
      <w:rPr>
        <w:rStyle w:val="6"/>
        <w:rFonts w:ascii="宋体" w:hAnsi="宋体"/>
        <w:sz w:val="28"/>
        <w:szCs w:val="28"/>
        <w:lang w:val="en-US" w:eastAsia="zh-CN"/>
      </w:rPr>
      <w:instrText xml:space="preserve">PAGE  </w:instrText>
    </w:r>
    <w:r>
      <w:rPr>
        <w:rStyle w:val="6"/>
        <w:rFonts w:ascii="宋体" w:hAnsi="宋体"/>
        <w:sz w:val="28"/>
        <w:szCs w:val="28"/>
        <w:lang w:val="en-US" w:eastAsia="zh-CN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Style w:val="6"/>
        <w:rFonts w:ascii="宋体" w:hAnsi="宋体"/>
        <w:sz w:val="28"/>
        <w:szCs w:val="28"/>
        <w:lang w:val="en-US" w:eastAsia="zh-CN"/>
      </w:rPr>
      <w:fldChar w:fldCharType="end"/>
    </w:r>
    <w:r>
      <w:rPr>
        <w:rStyle w:val="6"/>
        <w:rFonts w:hint="eastAsia" w:ascii="宋体" w:hAnsi="宋体"/>
        <w:sz w:val="28"/>
        <w:szCs w:val="28"/>
        <w:lang w:val="en-US" w:eastAsia="zh-CN"/>
      </w:rPr>
      <w:t xml:space="preserve"> — </w:t>
    </w:r>
  </w:p>
  <w:p>
    <w:pPr>
      <w:pStyle w:val="2"/>
      <w:ind w:right="360" w:firstLine="360"/>
      <w:jc w:val="left"/>
      <w:rPr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E24574C"/>
    <w:rsid w:val="3E2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2022-09-13T01:04:00Z</dcterms:created>
  <dc:creator>龚秀娟</dc:creator>
  <cp:lastModifiedBy>龚秀娟</cp:lastModifiedBy>
  <dcterms:modified xsi:type="dcterms:W3CDTF">2022-09-13T01:05:39Z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565913BA6B4C4CF99B5355535DAD4C2C</vt:lpwstr>
  </property>
</Properties>
</file>