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p>
      <w:pPr>
        <w:spacing w:line="66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  <w:lang w:eastAsia="zh-CN"/>
        </w:rPr>
        <w:t>义乌</w:t>
      </w:r>
      <w:r>
        <w:rPr>
          <w:rFonts w:hint="eastAsia" w:ascii="方正小标宋简体" w:hAnsi="Times New Roman" w:eastAsia="方正小标宋简体"/>
          <w:sz w:val="36"/>
          <w:szCs w:val="32"/>
        </w:rPr>
        <w:t>市初判存在安全隐患的农村</w:t>
      </w:r>
      <w:r>
        <w:rPr>
          <w:rFonts w:ascii="方正小标宋简体" w:hAnsi="Times New Roman" w:eastAsia="方正小标宋简体"/>
          <w:sz w:val="36"/>
          <w:szCs w:val="32"/>
        </w:rPr>
        <w:t>房屋</w:t>
      </w:r>
      <w:r>
        <w:rPr>
          <w:rFonts w:hint="eastAsia" w:ascii="方正小标宋简体" w:hAnsi="Times New Roman" w:eastAsia="方正小标宋简体"/>
          <w:sz w:val="36"/>
          <w:szCs w:val="32"/>
        </w:rPr>
        <w:t>鉴定完成</w:t>
      </w:r>
      <w:r>
        <w:rPr>
          <w:rFonts w:ascii="方正小标宋简体" w:hAnsi="Times New Roman" w:eastAsia="方正小标宋简体"/>
          <w:sz w:val="36"/>
          <w:szCs w:val="32"/>
        </w:rPr>
        <w:t>情况汇总表</w:t>
      </w:r>
    </w:p>
    <w:p>
      <w:pPr>
        <w:spacing w:line="6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填表单位：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（盖章）    填表人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   填表时间：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34"/>
        <w:gridCol w:w="1350"/>
        <w:gridCol w:w="1060"/>
        <w:gridCol w:w="1134"/>
        <w:gridCol w:w="1987"/>
        <w:gridCol w:w="113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县（市区）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初判存在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安全隐患的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总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户数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其中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暂停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营业户数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（用作生产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经营自建房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非自建房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3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鉴定为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危房户数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其中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已整治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完成户数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用作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生产经营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自建房户数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其他自建房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非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自建房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户数</w:t>
            </w: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C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级（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D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级（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户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总计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ind w:firstLine="6080" w:firstLineChars="1900"/>
        <w:jc w:val="left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市政府主要负责人签字（盖章）：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2021-05-21T09:15:40Z</dcterms:created>
  <dc:creator>Administrator</dc:creator>
  <cp:lastModifiedBy>Administrator</cp:lastModifiedBy>
  <dcterms:modified xsi:type="dcterms:W3CDTF">2021-05-21T09:16:08Z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648ECBD6F11042338E4A19A93CF8FC59</vt:lpwstr>
  </property>
</Properties>
</file>