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非供地企业指标计分表</w:t>
      </w:r>
    </w:p>
    <w:bookmarkEnd w:id="0"/>
    <w:tbl>
      <w:tblPr>
        <w:tblStyle w:val="2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279"/>
        <w:gridCol w:w="831"/>
        <w:gridCol w:w="43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指标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具体要求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权重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pacing w:val="-6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计分标准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工商登记情况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以营业执照注册时间为准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参评当年注册登记的计3分，注册登记年份较参评年度每提前一年的增加1分，加满为止。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税费贡献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全市前两年实际纳税年平均值为基准值，注册不满2年的企业按月份折算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35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企业年均纳税额达到基准值计50分，每增加0.1万加1分，100分封顶，每减少0.1万扣1.5分。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按企业前两年社保缴纳平均值计分，注册不满2年的企业按月份折算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企业前两年缴纳社保平均值达1万元的，计1分，每超1万加1分，5分封顶。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经营网络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健全度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到达县级以上城市（线路）数量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根据企业申报数与我市每条线路纳税基准值折算分值，每认可一个城市（一条线路），计2分，10分封顶。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信息化应用水平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使用信息化系统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入园企业自建研发系统或使用园区系统的计6分，联入市相关公共平台的计4分；未入园企业购置其它信息系统并接入市相关公共平台的计7分。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运输能力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自有一定数量的运输工具和设备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自有货运车辆核定载质量满20吨计2分，每增加20吨加1分，10分封顶。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企业优化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提升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企业开展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“个转企”“小升规”“规改股”“股上市”提质增效改革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完成个转企，计1分；企业注册资本达500万及以上的，计1分；成为市规上企业计1分；企业完成股份制改造（以工商登记为准），计1分；完成在全国中小企业股份转让系统（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“新三板”</w:t>
            </w:r>
            <w:r>
              <w:rPr>
                <w:rFonts w:eastAsia="仿宋_GB2312"/>
                <w:spacing w:val="-12"/>
                <w:sz w:val="24"/>
              </w:rPr>
              <w:t>）挂牌或在境内外主要资本市场上市或被上市公司并购，计1分。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综合管理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综合考虑安全管理、安全生产、道路运输、环境保护等情况。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安全生产，消防安全落实到位的计6分，发生消防和安全生产事故视情扣3</w:t>
            </w:r>
            <w:r>
              <w:rPr>
                <w:rFonts w:hint="eastAsia" w:eastAsia="仿宋_GB2312"/>
                <w:spacing w:val="-6"/>
                <w:sz w:val="24"/>
              </w:rPr>
              <w:t>—</w:t>
            </w:r>
            <w:r>
              <w:rPr>
                <w:rFonts w:eastAsia="仿宋_GB2312"/>
                <w:spacing w:val="-6"/>
                <w:sz w:val="24"/>
              </w:rPr>
              <w:t>6分；履行日常安全管理职责的计8分，每检查到1次不符合规定的扣1分；环境保护计1分，发生环保问题的不得分。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荣誉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荣获市级以上相关部门、协会物流行业荣誉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市级、省级、国家级部门荣誉计1分、3分、5分，省级、国家级协会荣誉计1分、3分。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pacing w:val="-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9792D"/>
    <w:rsid w:val="10B97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2020-12-14T00:35:00Z</dcterms:created>
  <dc:creator>匿名用户</dc:creator>
  <cp:lastModifiedBy>匿名用户</cp:lastModifiedBy>
  <dcterms:modified xsi:type="dcterms:W3CDTF">2020-12-14T00:35:52Z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