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sz w:val="48"/>
          <w:szCs w:val="48"/>
          <w:lang w:val="en-US" w:eastAsia="zh-CN"/>
        </w:rPr>
      </w:pPr>
      <w:bookmarkStart w:id="0" w:name="F0200"/>
      <w:r>
        <w:rPr>
          <w:rFonts w:hint="eastAsia" w:ascii="黑体" w:hAnsi="黑体" w:eastAsia="黑体"/>
          <w:sz w:val="48"/>
          <w:szCs w:val="48"/>
          <w:lang w:eastAsia="zh-CN"/>
        </w:rPr>
        <w:t>义乌市义亭镇人民政府</w:t>
      </w:r>
      <w:r>
        <w:rPr>
          <w:rFonts w:hint="eastAsia" w:ascii="黑体" w:hAnsi="黑体" w:eastAsia="黑体"/>
          <w:sz w:val="48"/>
          <w:szCs w:val="48"/>
          <w:lang w:val="en-US" w:eastAsia="zh-CN"/>
        </w:rPr>
        <w:t>2021年度部门决算</w:t>
      </w:r>
      <w:bookmarkEnd w:id="0"/>
    </w:p>
    <w:p>
      <w:pPr>
        <w:spacing w:line="360" w:lineRule="auto"/>
        <w:jc w:val="center"/>
        <w:rPr>
          <w:rFonts w:hint="eastAsia" w:ascii="黑体" w:hAnsi="黑体" w:eastAsia="黑体"/>
          <w:sz w:val="48"/>
          <w:szCs w:val="48"/>
          <w:lang w:val="en-US" w:eastAsia="zh-CN"/>
        </w:rPr>
      </w:pPr>
      <w:r>
        <w:rPr>
          <w:rFonts w:hint="eastAsia" w:ascii="黑体" w:hAnsi="黑体" w:eastAsia="黑体"/>
          <w:sz w:val="44"/>
          <w:szCs w:val="44"/>
          <w:lang w:val="en-US" w:eastAsia="zh-CN"/>
        </w:rPr>
        <w:t>目录</w:t>
      </w:r>
    </w:p>
    <w:p>
      <w:pPr>
        <w:numPr>
          <w:ilvl w:val="0"/>
          <w:numId w:val="1"/>
        </w:numPr>
        <w:spacing w:line="360" w:lineRule="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概况</w:t>
      </w:r>
    </w:p>
    <w:p>
      <w:pPr>
        <w:numPr>
          <w:ilvl w:val="0"/>
          <w:numId w:val="2"/>
        </w:numPr>
        <w:spacing w:line="360" w:lineRule="auto"/>
        <w:ind w:left="420" w:leftChars="0" w:firstLineChars="0"/>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部门职责</w:t>
      </w:r>
    </w:p>
    <w:p>
      <w:pPr>
        <w:numPr>
          <w:ilvl w:val="0"/>
          <w:numId w:val="2"/>
        </w:numPr>
        <w:spacing w:line="360" w:lineRule="auto"/>
        <w:ind w:left="420" w:leftChars="0" w:firstLineChars="0"/>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机构设置</w:t>
      </w:r>
    </w:p>
    <w:p>
      <w:pPr>
        <w:numPr>
          <w:ilvl w:val="0"/>
          <w:numId w:val="0"/>
        </w:numPr>
        <w:spacing w:line="360" w:lineRule="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二、2021年度部门决算公开表</w:t>
      </w:r>
    </w:p>
    <w:p>
      <w:pPr>
        <w:numPr>
          <w:ilvl w:val="0"/>
          <w:numId w:val="0"/>
        </w:numPr>
        <w:spacing w:line="360" w:lineRule="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三、2021年度部门决算情况说明</w:t>
      </w:r>
    </w:p>
    <w:p>
      <w:pPr>
        <w:numPr>
          <w:ilvl w:val="0"/>
          <w:numId w:val="3"/>
        </w:numPr>
        <w:spacing w:line="360" w:lineRule="auto"/>
        <w:ind w:left="420" w:leftChars="0" w:firstLineChars="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收入支出决算总体情况说明</w:t>
      </w:r>
    </w:p>
    <w:p>
      <w:pPr>
        <w:numPr>
          <w:ilvl w:val="0"/>
          <w:numId w:val="3"/>
        </w:numPr>
        <w:spacing w:line="360" w:lineRule="auto"/>
        <w:ind w:left="420" w:leftChars="0" w:firstLineChars="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收入决算情况说明</w:t>
      </w:r>
    </w:p>
    <w:p>
      <w:pPr>
        <w:numPr>
          <w:ilvl w:val="0"/>
          <w:numId w:val="3"/>
        </w:numPr>
        <w:spacing w:line="360" w:lineRule="auto"/>
        <w:ind w:left="420" w:leftChars="0" w:firstLineChars="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支出决算情况说明</w:t>
      </w:r>
    </w:p>
    <w:p>
      <w:pPr>
        <w:numPr>
          <w:ilvl w:val="0"/>
          <w:numId w:val="3"/>
        </w:numPr>
        <w:spacing w:line="360" w:lineRule="auto"/>
        <w:ind w:left="420" w:leftChars="0" w:firstLineChars="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财政拨款收入支出决算总体情况说明</w:t>
      </w:r>
    </w:p>
    <w:p>
      <w:pPr>
        <w:numPr>
          <w:ilvl w:val="0"/>
          <w:numId w:val="3"/>
        </w:numPr>
        <w:spacing w:line="360" w:lineRule="auto"/>
        <w:ind w:left="420" w:leftChars="0" w:firstLineChars="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一般公共预算财政拨款支出决算情况说明</w:t>
      </w:r>
    </w:p>
    <w:p>
      <w:pPr>
        <w:numPr>
          <w:ilvl w:val="0"/>
          <w:numId w:val="3"/>
        </w:numPr>
        <w:spacing w:line="360" w:lineRule="auto"/>
        <w:ind w:left="420" w:leftChars="0" w:firstLineChars="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一般公共预算财政拨款基本支出决算情况说明</w:t>
      </w:r>
    </w:p>
    <w:p>
      <w:pPr>
        <w:numPr>
          <w:ilvl w:val="0"/>
          <w:numId w:val="3"/>
        </w:numPr>
        <w:spacing w:line="360" w:lineRule="auto"/>
        <w:ind w:left="420" w:leftChars="0" w:firstLineChars="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政府性基金预算财政拨款支出决算总体情况说明</w:t>
      </w:r>
    </w:p>
    <w:p>
      <w:pPr>
        <w:numPr>
          <w:ilvl w:val="0"/>
          <w:numId w:val="3"/>
        </w:numPr>
        <w:spacing w:line="360" w:lineRule="auto"/>
        <w:ind w:left="420" w:leftChars="0" w:firstLineChars="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国有资本经营预算财政拨款支出决算总体情况说明</w:t>
      </w:r>
    </w:p>
    <w:p>
      <w:pPr>
        <w:numPr>
          <w:ilvl w:val="0"/>
          <w:numId w:val="3"/>
        </w:numPr>
        <w:spacing w:line="360" w:lineRule="auto"/>
        <w:ind w:left="420" w:leftChars="0" w:firstLineChars="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一般公共预算财政拨款“三公”经费支出决算情况说明</w:t>
      </w:r>
    </w:p>
    <w:p>
      <w:pPr>
        <w:numPr>
          <w:ilvl w:val="0"/>
          <w:numId w:val="3"/>
        </w:numPr>
        <w:spacing w:line="360" w:lineRule="auto"/>
        <w:ind w:left="420" w:leftChars="0" w:firstLineChars="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机关运行经费支出说明</w:t>
      </w:r>
    </w:p>
    <w:p>
      <w:pPr>
        <w:numPr>
          <w:ilvl w:val="0"/>
          <w:numId w:val="3"/>
        </w:numPr>
        <w:spacing w:line="360" w:lineRule="auto"/>
        <w:ind w:left="420" w:leftChars="0" w:firstLineChars="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政府采购支出说明</w:t>
      </w:r>
    </w:p>
    <w:p>
      <w:pPr>
        <w:numPr>
          <w:ilvl w:val="0"/>
          <w:numId w:val="3"/>
        </w:numPr>
        <w:spacing w:line="360" w:lineRule="auto"/>
        <w:ind w:left="420" w:leftChars="0" w:firstLineChars="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国有资产占有情况说明</w:t>
      </w:r>
    </w:p>
    <w:p>
      <w:pPr>
        <w:numPr>
          <w:ilvl w:val="0"/>
          <w:numId w:val="3"/>
        </w:numPr>
        <w:spacing w:line="360" w:lineRule="auto"/>
        <w:ind w:left="420" w:leftChars="0" w:firstLineChars="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预算绩效情况说明</w:t>
      </w:r>
    </w:p>
    <w:p>
      <w:pPr>
        <w:numPr>
          <w:ilvl w:val="0"/>
          <w:numId w:val="0"/>
        </w:numPr>
        <w:spacing w:line="360" w:lineRule="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四、名词解释</w:t>
      </w:r>
    </w:p>
    <w:p>
      <w:pPr>
        <w:spacing w:line="360" w:lineRule="auto"/>
        <w:rPr>
          <w:rFonts w:hint="eastAsia" w:ascii="仿宋" w:hAnsi="仿宋" w:eastAsia="仿宋" w:cs="仿宋"/>
          <w:sz w:val="28"/>
          <w:szCs w:val="28"/>
        </w:rPr>
      </w:pPr>
    </w:p>
    <w:p>
      <w:pPr>
        <w:pStyle w:val="2"/>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30" w:leftChars="0" w:right="0" w:firstLine="600" w:firstLineChars="0"/>
        <w:jc w:val="both"/>
        <w:rPr>
          <w:rFonts w:hint="eastAsia" w:ascii="黑体" w:hAnsi="黑体" w:eastAsia="黑体" w:cs="黑体"/>
          <w:b/>
          <w:bCs/>
          <w:i w:val="0"/>
          <w:caps w:val="0"/>
          <w:color w:val="000000" w:themeColor="text1"/>
          <w:spacing w:val="0"/>
          <w:sz w:val="28"/>
          <w:szCs w:val="28"/>
          <w:shd w:val="clear" w:fill="FFFFFF"/>
          <w14:textFill>
            <w14:solidFill>
              <w14:schemeClr w14:val="tx1"/>
            </w14:solidFill>
          </w14:textFill>
        </w:rPr>
      </w:pPr>
      <w:r>
        <w:rPr>
          <w:rFonts w:hint="eastAsia" w:ascii="黑体" w:hAnsi="黑体" w:eastAsia="黑体" w:cs="黑体"/>
          <w:b/>
          <w:bCs/>
          <w:i w:val="0"/>
          <w:caps w:val="0"/>
          <w:color w:val="000000" w:themeColor="text1"/>
          <w:spacing w:val="0"/>
          <w:sz w:val="28"/>
          <w:szCs w:val="28"/>
          <w:shd w:val="clear" w:fill="FFFFFF"/>
          <w14:textFill>
            <w14:solidFill>
              <w14:schemeClr w14:val="tx1"/>
            </w14:solidFill>
          </w14:textFill>
        </w:rPr>
        <w:t>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sz w:val="28"/>
          <w:szCs w:val="28"/>
          <w14:textFill>
            <w14:solidFill>
              <w14:schemeClr w14:val="tx1"/>
            </w14:solidFill>
          </w14:textFill>
        </w:rPr>
      </w:pPr>
      <w:r>
        <w:rPr>
          <w:rFonts w:hint="eastAsia" w:ascii="仿宋" w:hAnsi="仿宋" w:eastAsia="仿宋" w:cs="仿宋"/>
          <w:b/>
          <w:bCs/>
          <w:i w:val="0"/>
          <w:caps w:val="0"/>
          <w:color w:val="000000" w:themeColor="text1"/>
          <w:spacing w:val="0"/>
          <w:sz w:val="28"/>
          <w:szCs w:val="28"/>
          <w:shd w:val="clear" w:fill="FFFFFF"/>
          <w14:textFill>
            <w14:solidFill>
              <w14:schemeClr w14:val="tx1"/>
            </w14:solidFill>
          </w14:textFill>
        </w:rPr>
        <w:t>（</w:t>
      </w:r>
      <w:r>
        <w:rPr>
          <w:rFonts w:hint="eastAsia" w:ascii="仿宋" w:hAnsi="仿宋" w:eastAsia="仿宋" w:cs="仿宋"/>
          <w:b/>
          <w:bCs/>
          <w:i w:val="0"/>
          <w:caps w:val="0"/>
          <w:color w:val="000000" w:themeColor="text1"/>
          <w:spacing w:val="0"/>
          <w:sz w:val="28"/>
          <w:szCs w:val="28"/>
          <w:shd w:val="clear" w:fill="FFFFFF"/>
          <w:lang w:eastAsia="zh-CN"/>
          <w14:textFill>
            <w14:solidFill>
              <w14:schemeClr w14:val="tx1"/>
            </w14:solidFill>
          </w14:textFill>
        </w:rPr>
        <w:t>一</w:t>
      </w:r>
      <w:r>
        <w:rPr>
          <w:rFonts w:hint="eastAsia" w:ascii="仿宋" w:hAnsi="仿宋" w:eastAsia="仿宋" w:cs="仿宋"/>
          <w:b/>
          <w:bCs/>
          <w:i w:val="0"/>
          <w:caps w:val="0"/>
          <w:color w:val="000000" w:themeColor="text1"/>
          <w:spacing w:val="0"/>
          <w:sz w:val="28"/>
          <w:szCs w:val="28"/>
          <w:shd w:val="clear" w:fill="FFFFFF"/>
          <w14:textFill>
            <w14:solidFill>
              <w14:schemeClr w14:val="tx1"/>
            </w14:solidFill>
          </w14:textFill>
        </w:rPr>
        <w:t>）部门职责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sz w:val="28"/>
          <w:szCs w:val="28"/>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1、全面贯彻党的路线、方针、政策，执行上级国家行政机关的决定和命令，按照职责权限依法规定施行行政措施。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sz w:val="28"/>
          <w:szCs w:val="28"/>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2、领导所属工作部门的工作；改变或者撤销所属工作部门不适当的决定。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sz w:val="28"/>
          <w:szCs w:val="28"/>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3、编报和执行本辖区国民经济和社会发展计划；编报和执行财政预算，实行相应的财政管理体制；负责本辖区经济发展管理工作，包括工业、农业、第三产业，繁荣区域经济；负责本辖区科学、教育、文化、卫生、体育、环境和资源保护、安全生产、人事、劳动和社会保障、人民武装、民政、民族宗教、政府法制等行政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sz w:val="28"/>
          <w:szCs w:val="28"/>
          <w:shd w:val="clear" w:fill="FFFFFF"/>
          <w14:textFill>
            <w14:solidFill>
              <w14:schemeClr w14:val="tx1"/>
            </w14:solidFill>
          </w14:textFill>
        </w:rPr>
        <w:t>4</w:t>
      </w: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、负责本辖区精神文明建设工作，组织开展创建文明镇、文明单位、文明村、村民自治模范村、群众性文化体育等活动，组织开展民主法制教育和社会公德教育，提高市民素质。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sz w:val="28"/>
          <w:szCs w:val="28"/>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5、配合政府有关部门做好城市管理工作。组织开展爱国卫生活动，做好城市规划、建设管理和土地管理工作。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sz w:val="28"/>
          <w:szCs w:val="28"/>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6、负责本辖区新社区建设、管理、服务工作。指导居委会、村委会开展工作，反映社区居民的意见和要求，处理人民来信来访；按属地管理原则，制定本辖区社会治安综合治理规划并组织实施人民调解、治安保卫工作，维护社会秩序和稳定；举办便民、利民的农村公共事务和公共福利事业，负责农村公共服务设施、公共服务机构建设，负责优抚安置、救灾救济、拥军优属、殡葬改革、托幼养老及维护残疾人合法权益等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sz w:val="28"/>
          <w:szCs w:val="28"/>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7、根据政府授权组织开发建设本辖区内重要的经济社会发展项目。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sz w:val="28"/>
          <w:szCs w:val="28"/>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8、对需报政府主管部门审批的事项提出审核意见。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sz w:val="28"/>
          <w:szCs w:val="28"/>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9、保护辖区内全民所有的财产和集体所有的财产，保护公民私人所有的合法财产，保障公民的人身权利、民主权力和其它权利；保障各种经济组织合法权益。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sz w:val="28"/>
          <w:szCs w:val="28"/>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10、保障宪法和法律赋予妇女的男女平等、同工同酬和婚姻自由等各项权力。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sz w:val="28"/>
          <w:szCs w:val="28"/>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11、依照法律的规定和干部管理权限任免、培训、考核和奖惩本辖区干部、工作人员。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sz w:val="28"/>
          <w:szCs w:val="28"/>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12、办理市政府交办的其他工作事项。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b/>
          <w:bCs/>
          <w:i w:val="0"/>
          <w:caps w:val="0"/>
          <w:color w:val="000000" w:themeColor="text1"/>
          <w:spacing w:val="0"/>
          <w:sz w:val="28"/>
          <w:szCs w:val="28"/>
          <w14:textFill>
            <w14:solidFill>
              <w14:schemeClr w14:val="tx1"/>
            </w14:solidFill>
          </w14:textFill>
        </w:rPr>
      </w:pPr>
      <w:r>
        <w:rPr>
          <w:rFonts w:hint="eastAsia" w:ascii="仿宋" w:hAnsi="仿宋" w:eastAsia="仿宋" w:cs="仿宋"/>
          <w:b/>
          <w:bCs/>
          <w:i w:val="0"/>
          <w:caps w:val="0"/>
          <w:color w:val="000000" w:themeColor="text1"/>
          <w:spacing w:val="0"/>
          <w:sz w:val="28"/>
          <w:szCs w:val="28"/>
          <w:shd w:val="clear" w:fill="FFFFFF"/>
          <w14:textFill>
            <w14:solidFill>
              <w14:schemeClr w14:val="tx1"/>
            </w14:solidFill>
          </w14:textFill>
        </w:rPr>
        <w:t>（</w:t>
      </w:r>
      <w:r>
        <w:rPr>
          <w:rFonts w:hint="eastAsia" w:ascii="仿宋" w:hAnsi="仿宋" w:eastAsia="仿宋" w:cs="仿宋"/>
          <w:b/>
          <w:bCs/>
          <w:i w:val="0"/>
          <w:caps w:val="0"/>
          <w:color w:val="000000" w:themeColor="text1"/>
          <w:spacing w:val="0"/>
          <w:sz w:val="28"/>
          <w:szCs w:val="28"/>
          <w:shd w:val="clear" w:fill="FFFFFF"/>
          <w:lang w:eastAsia="zh-CN"/>
          <w14:textFill>
            <w14:solidFill>
              <w14:schemeClr w14:val="tx1"/>
            </w14:solidFill>
          </w14:textFill>
        </w:rPr>
        <w:t>二</w:t>
      </w:r>
      <w:r>
        <w:rPr>
          <w:rFonts w:hint="eastAsia" w:ascii="仿宋" w:hAnsi="仿宋" w:eastAsia="仿宋" w:cs="仿宋"/>
          <w:b/>
          <w:bCs/>
          <w:i w:val="0"/>
          <w:caps w:val="0"/>
          <w:color w:val="000000" w:themeColor="text1"/>
          <w:spacing w:val="0"/>
          <w:sz w:val="28"/>
          <w:szCs w:val="28"/>
          <w:shd w:val="clear" w:fill="FFFFFF"/>
          <w14:textFill>
            <w14:solidFill>
              <w14:schemeClr w14:val="tx1"/>
            </w14:solidFill>
          </w14:textFill>
        </w:rPr>
        <w:t>）机构设置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从预算单位构成看，义乌市义亭镇人民政府部门决算包括：义亭镇人民政府本级决算。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黑体" w:hAnsi="黑体" w:eastAsia="黑体" w:cs="黑体"/>
          <w:b/>
          <w:bCs/>
          <w:i w:val="0"/>
          <w:caps w:val="0"/>
          <w:color w:val="000000" w:themeColor="text1"/>
          <w:spacing w:val="0"/>
          <w:sz w:val="28"/>
          <w:szCs w:val="28"/>
          <w14:textFill>
            <w14:solidFill>
              <w14:schemeClr w14:val="tx1"/>
            </w14:solidFill>
          </w14:textFill>
        </w:rPr>
      </w:pPr>
      <w:r>
        <w:rPr>
          <w:rFonts w:hint="eastAsia" w:ascii="黑体" w:hAnsi="黑体" w:eastAsia="黑体" w:cs="黑体"/>
          <w:b/>
          <w:bCs/>
          <w:i w:val="0"/>
          <w:caps w:val="0"/>
          <w:color w:val="000000" w:themeColor="text1"/>
          <w:spacing w:val="0"/>
          <w:sz w:val="28"/>
          <w:szCs w:val="28"/>
          <w:shd w:val="clear" w:fill="FFFFFF"/>
          <w:lang w:eastAsia="zh-CN"/>
          <w14:textFill>
            <w14:solidFill>
              <w14:schemeClr w14:val="tx1"/>
            </w14:solidFill>
          </w14:textFill>
        </w:rPr>
        <w:t>二</w:t>
      </w:r>
      <w:r>
        <w:rPr>
          <w:rFonts w:hint="eastAsia" w:ascii="黑体" w:hAnsi="黑体" w:eastAsia="黑体" w:cs="黑体"/>
          <w:b/>
          <w:bCs/>
          <w:i w:val="0"/>
          <w:caps w:val="0"/>
          <w:color w:val="000000" w:themeColor="text1"/>
          <w:spacing w:val="0"/>
          <w:sz w:val="28"/>
          <w:szCs w:val="28"/>
          <w:shd w:val="clear" w:fill="FFFFFF"/>
          <w14:textFill>
            <w14:solidFill>
              <w14:schemeClr w14:val="tx1"/>
            </w14:solidFill>
          </w14:textFill>
        </w:rPr>
        <w:t>、202</w:t>
      </w:r>
      <w:r>
        <w:rPr>
          <w:rFonts w:hint="eastAsia" w:ascii="黑体" w:hAnsi="黑体" w:eastAsia="黑体" w:cs="黑体"/>
          <w:b/>
          <w:bCs/>
          <w:i w:val="0"/>
          <w:caps w:val="0"/>
          <w:color w:val="000000" w:themeColor="text1"/>
          <w:spacing w:val="0"/>
          <w:sz w:val="28"/>
          <w:szCs w:val="28"/>
          <w:shd w:val="clear" w:fill="FFFFFF"/>
          <w:lang w:val="en-US" w:eastAsia="zh-CN"/>
          <w14:textFill>
            <w14:solidFill>
              <w14:schemeClr w14:val="tx1"/>
            </w14:solidFill>
          </w14:textFill>
        </w:rPr>
        <w:t>1</w:t>
      </w:r>
      <w:r>
        <w:rPr>
          <w:rFonts w:hint="eastAsia" w:ascii="黑体" w:hAnsi="黑体" w:eastAsia="黑体" w:cs="黑体"/>
          <w:b/>
          <w:bCs/>
          <w:i w:val="0"/>
          <w:caps w:val="0"/>
          <w:color w:val="000000" w:themeColor="text1"/>
          <w:spacing w:val="0"/>
          <w:sz w:val="28"/>
          <w:szCs w:val="28"/>
          <w:shd w:val="clear" w:fill="FFFFFF"/>
          <w14:textFill>
            <w14:solidFill>
              <w14:schemeClr w14:val="tx1"/>
            </w14:solidFill>
          </w14:textFill>
        </w:rPr>
        <w:t>年度部门决算公开表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详见附表。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黑体" w:hAnsi="黑体" w:eastAsia="黑体" w:cs="黑体"/>
          <w:b/>
          <w:bCs/>
          <w:i w:val="0"/>
          <w:caps w:val="0"/>
          <w:color w:val="000000" w:themeColor="text1"/>
          <w:spacing w:val="0"/>
          <w:sz w:val="28"/>
          <w:szCs w:val="28"/>
          <w14:textFill>
            <w14:solidFill>
              <w14:schemeClr w14:val="tx1"/>
            </w14:solidFill>
          </w14:textFill>
        </w:rPr>
      </w:pPr>
      <w:r>
        <w:rPr>
          <w:rFonts w:hint="eastAsia" w:ascii="黑体" w:hAnsi="黑体" w:eastAsia="黑体" w:cs="黑体"/>
          <w:b/>
          <w:bCs/>
          <w:i w:val="0"/>
          <w:caps w:val="0"/>
          <w:color w:val="000000" w:themeColor="text1"/>
          <w:spacing w:val="0"/>
          <w:sz w:val="28"/>
          <w:szCs w:val="28"/>
          <w:shd w:val="clear" w:fill="FFFFFF"/>
          <w14:textFill>
            <w14:solidFill>
              <w14:schemeClr w14:val="tx1"/>
            </w14:solidFill>
          </w14:textFill>
        </w:rPr>
        <w:t>三、202</w:t>
      </w:r>
      <w:r>
        <w:rPr>
          <w:rFonts w:hint="eastAsia" w:ascii="黑体" w:hAnsi="黑体" w:eastAsia="黑体" w:cs="黑体"/>
          <w:b/>
          <w:bCs/>
          <w:i w:val="0"/>
          <w:caps w:val="0"/>
          <w:color w:val="000000" w:themeColor="text1"/>
          <w:spacing w:val="0"/>
          <w:sz w:val="28"/>
          <w:szCs w:val="28"/>
          <w:shd w:val="clear" w:fill="FFFFFF"/>
          <w:lang w:val="en-US" w:eastAsia="zh-CN"/>
          <w14:textFill>
            <w14:solidFill>
              <w14:schemeClr w14:val="tx1"/>
            </w14:solidFill>
          </w14:textFill>
        </w:rPr>
        <w:t>1</w:t>
      </w:r>
      <w:r>
        <w:rPr>
          <w:rFonts w:hint="eastAsia" w:ascii="黑体" w:hAnsi="黑体" w:eastAsia="黑体" w:cs="黑体"/>
          <w:b/>
          <w:bCs/>
          <w:i w:val="0"/>
          <w:caps w:val="0"/>
          <w:color w:val="000000" w:themeColor="text1"/>
          <w:spacing w:val="0"/>
          <w:sz w:val="28"/>
          <w:szCs w:val="28"/>
          <w:shd w:val="clear" w:fill="FFFFFF"/>
          <w14:textFill>
            <w14:solidFill>
              <w14:schemeClr w14:val="tx1"/>
            </w14:solidFill>
          </w14:textFill>
        </w:rPr>
        <w:t>年度部门决算情况说明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sz w:val="28"/>
          <w:szCs w:val="28"/>
          <w14:textFill>
            <w14:solidFill>
              <w14:schemeClr w14:val="tx1"/>
            </w14:solidFill>
          </w14:textFill>
        </w:rPr>
      </w:pPr>
      <w:r>
        <w:rPr>
          <w:rFonts w:hint="eastAsia" w:ascii="仿宋" w:hAnsi="仿宋" w:eastAsia="仿宋" w:cs="仿宋"/>
          <w:b/>
          <w:bCs/>
          <w:i w:val="0"/>
          <w:caps w:val="0"/>
          <w:color w:val="000000" w:themeColor="text1"/>
          <w:spacing w:val="0"/>
          <w:sz w:val="28"/>
          <w:szCs w:val="28"/>
          <w:shd w:val="clear" w:fill="FFFFFF"/>
          <w14:textFill>
            <w14:solidFill>
              <w14:schemeClr w14:val="tx1"/>
            </w14:solidFill>
          </w14:textFill>
        </w:rPr>
        <w:t>（一）收入支出决算总体情况说明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202</w:t>
      </w:r>
      <w:r>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1</w:t>
      </w: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年度收入总计</w:t>
      </w:r>
      <w:r>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52299.15</w:t>
      </w: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万元，支出总计</w:t>
      </w:r>
      <w:r>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52299.15</w:t>
      </w: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万元,与</w:t>
      </w:r>
      <w:r>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2020</w:t>
      </w: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年度相比，各增加</w:t>
      </w:r>
      <w:r>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26270.21</w:t>
      </w: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万元，增长</w:t>
      </w:r>
      <w:r>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100.93</w:t>
      </w: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%。主要原因是：城乡社区支出大幅度增加。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b/>
          <w:bCs/>
          <w:i w:val="0"/>
          <w:caps w:val="0"/>
          <w:color w:val="000000" w:themeColor="text1"/>
          <w:spacing w:val="0"/>
          <w:sz w:val="28"/>
          <w:szCs w:val="28"/>
          <w14:textFill>
            <w14:solidFill>
              <w14:schemeClr w14:val="tx1"/>
            </w14:solidFill>
          </w14:textFill>
        </w:rPr>
      </w:pPr>
      <w:r>
        <w:rPr>
          <w:rFonts w:hint="eastAsia" w:ascii="仿宋" w:hAnsi="仿宋" w:eastAsia="仿宋" w:cs="仿宋"/>
          <w:b/>
          <w:bCs/>
          <w:i w:val="0"/>
          <w:caps w:val="0"/>
          <w:color w:val="000000" w:themeColor="text1"/>
          <w:spacing w:val="0"/>
          <w:sz w:val="28"/>
          <w:szCs w:val="28"/>
          <w:shd w:val="clear" w:fill="FFFFFF"/>
          <w14:textFill>
            <w14:solidFill>
              <w14:schemeClr w14:val="tx1"/>
            </w14:solidFill>
          </w14:textFill>
        </w:rPr>
        <w:t>（二）收入决算情况说明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本年收入合计</w:t>
      </w:r>
      <w:r>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52299.15</w:t>
      </w: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万元；包括财政拨款收入</w:t>
      </w:r>
      <w:r>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52299.15</w:t>
      </w: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万元（其中，一般公共预算</w:t>
      </w:r>
      <w:r>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8195.29</w:t>
      </w: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万元，政府性基金预算</w:t>
      </w:r>
      <w:r>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44103.86</w:t>
      </w: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万元,国有资本经营预算0万元），占收入合计100%；上级补助收入0万元，占收入合计0%；事业收入0万元，占收入合计0%；经营收入0万元，占收入合计0%；附属单位上缴收入0万元，占收入合计0%；其他收入0万元，占收入合计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b/>
          <w:bCs/>
          <w:i w:val="0"/>
          <w:caps w:val="0"/>
          <w:color w:val="000000" w:themeColor="text1"/>
          <w:spacing w:val="0"/>
          <w:sz w:val="28"/>
          <w:szCs w:val="28"/>
          <w14:textFill>
            <w14:solidFill>
              <w14:schemeClr w14:val="tx1"/>
            </w14:solidFill>
          </w14:textFill>
        </w:rPr>
      </w:pPr>
      <w:r>
        <w:rPr>
          <w:rFonts w:hint="eastAsia" w:ascii="仿宋" w:hAnsi="仿宋" w:eastAsia="仿宋" w:cs="仿宋"/>
          <w:b/>
          <w:bCs/>
          <w:i w:val="0"/>
          <w:caps w:val="0"/>
          <w:color w:val="000000" w:themeColor="text1"/>
          <w:spacing w:val="0"/>
          <w:sz w:val="28"/>
          <w:szCs w:val="28"/>
          <w:shd w:val="clear" w:fill="FFFFFF"/>
          <w14:textFill>
            <w14:solidFill>
              <w14:schemeClr w14:val="tx1"/>
            </w14:solidFill>
          </w14:textFill>
        </w:rPr>
        <w:t>（三）支出决算情况说明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本年支出合计</w:t>
      </w:r>
      <w:r>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52299.15</w:t>
      </w: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万元，其中基本支出</w:t>
      </w:r>
      <w:r>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4397.4</w:t>
      </w: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万元，占</w:t>
      </w:r>
      <w:r>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8.41</w:t>
      </w: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%；项目支出</w:t>
      </w:r>
      <w:r>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47901.75</w:t>
      </w: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万元，占</w:t>
      </w:r>
      <w:r>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91.59</w:t>
      </w: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%；上缴上级支出0万元，占0%；经营支出0万元，占0%；对附属单位补助支出0万元，占0%。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b/>
          <w:bCs/>
          <w:i w:val="0"/>
          <w:caps w:val="0"/>
          <w:color w:val="000000" w:themeColor="text1"/>
          <w:spacing w:val="0"/>
          <w:sz w:val="28"/>
          <w:szCs w:val="28"/>
          <w14:textFill>
            <w14:solidFill>
              <w14:schemeClr w14:val="tx1"/>
            </w14:solidFill>
          </w14:textFill>
        </w:rPr>
      </w:pPr>
      <w:r>
        <w:rPr>
          <w:rFonts w:hint="eastAsia" w:ascii="仿宋" w:hAnsi="仿宋" w:eastAsia="仿宋" w:cs="仿宋"/>
          <w:b/>
          <w:bCs/>
          <w:i w:val="0"/>
          <w:caps w:val="0"/>
          <w:color w:val="000000" w:themeColor="text1"/>
          <w:spacing w:val="0"/>
          <w:sz w:val="28"/>
          <w:szCs w:val="28"/>
          <w:shd w:val="clear" w:fill="FFFFFF"/>
          <w14:textFill>
            <w14:solidFill>
              <w14:schemeClr w14:val="tx1"/>
            </w14:solidFill>
          </w14:textFill>
        </w:rPr>
        <w:t>（四）财政拨款收入支出决算总体情况说明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FF0000"/>
          <w:spacing w:val="0"/>
          <w:sz w:val="28"/>
          <w:szCs w:val="28"/>
        </w:rPr>
      </w:pPr>
      <w:r>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2021年度财政拨款收入总计52299.15万元，支出总计52299.15万元，与2020年相比，各增加26270.21万元，增长100.93%。主要原因是城乡社区支出大幅度增加；财政拨款支出年初预算数22943.32万元，完成年初预算的227.95%，主要原因是耕地非粮化非农化整治支出、土地开发支出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黑体" w:hAnsi="黑体" w:eastAsia="黑体" w:cs="黑体"/>
          <w:b/>
          <w:bCs/>
          <w:i w:val="0"/>
          <w:caps w:val="0"/>
          <w:color w:val="000000" w:themeColor="text1"/>
          <w:spacing w:val="0"/>
          <w:sz w:val="28"/>
          <w:szCs w:val="28"/>
          <w14:textFill>
            <w14:solidFill>
              <w14:schemeClr w14:val="tx1"/>
            </w14:solidFill>
          </w14:textFill>
        </w:rPr>
      </w:pPr>
      <w:r>
        <w:rPr>
          <w:rFonts w:hint="eastAsia" w:ascii="黑体" w:hAnsi="黑体" w:eastAsia="黑体" w:cs="黑体"/>
          <w:b/>
          <w:bCs/>
          <w:i w:val="0"/>
          <w:caps w:val="0"/>
          <w:color w:val="000000" w:themeColor="text1"/>
          <w:spacing w:val="0"/>
          <w:sz w:val="28"/>
          <w:szCs w:val="28"/>
          <w:shd w:val="clear" w:fill="FFFFFF"/>
          <w14:textFill>
            <w14:solidFill>
              <w14:schemeClr w14:val="tx1"/>
            </w14:solidFill>
          </w14:textFill>
        </w:rPr>
        <w:t>（五）一般公共预算财政拨款支出决算情况说明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b/>
          <w:bCs/>
          <w:i w:val="0"/>
          <w:caps w:val="0"/>
          <w:color w:val="000000" w:themeColor="text1"/>
          <w:spacing w:val="0"/>
          <w:sz w:val="28"/>
          <w:szCs w:val="28"/>
          <w14:textFill>
            <w14:solidFill>
              <w14:schemeClr w14:val="tx1"/>
            </w14:solidFill>
          </w14:textFill>
        </w:rPr>
      </w:pPr>
      <w:r>
        <w:rPr>
          <w:rFonts w:hint="eastAsia" w:ascii="仿宋" w:hAnsi="仿宋" w:eastAsia="仿宋" w:cs="仿宋"/>
          <w:b/>
          <w:bCs/>
          <w:i w:val="0"/>
          <w:caps w:val="0"/>
          <w:color w:val="000000" w:themeColor="text1"/>
          <w:spacing w:val="0"/>
          <w:sz w:val="28"/>
          <w:szCs w:val="28"/>
          <w:shd w:val="clear" w:fill="FFFFFF"/>
          <w14:textFill>
            <w14:solidFill>
              <w14:schemeClr w14:val="tx1"/>
            </w14:solidFill>
          </w14:textFill>
        </w:rPr>
        <w:t>1.一般公共预算财政拨款支出决算总体情况。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2021年度一般公共预算财政拨款支出8195.29万元，占本年支出合计的15.67%。与2020年相比，一般公共预算财政拨款支出增加1479.71万元，增长18.06%。主要原因是：一般公共服务支出及农林水支出增多。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666666"/>
          <w:spacing w:val="0"/>
          <w:sz w:val="28"/>
          <w:szCs w:val="28"/>
        </w:rPr>
      </w:pPr>
      <w:r>
        <w:rPr>
          <w:rFonts w:hint="eastAsia" w:ascii="仿宋" w:hAnsi="仿宋" w:eastAsia="仿宋" w:cs="仿宋"/>
          <w:b/>
          <w:bCs/>
          <w:i w:val="0"/>
          <w:caps w:val="0"/>
          <w:color w:val="000000" w:themeColor="text1"/>
          <w:spacing w:val="0"/>
          <w:sz w:val="28"/>
          <w:szCs w:val="28"/>
          <w:shd w:val="clear" w:fill="FFFFFF"/>
          <w14:textFill>
            <w14:solidFill>
              <w14:schemeClr w14:val="tx1"/>
            </w14:solidFill>
          </w14:textFill>
        </w:rPr>
        <w:t>2.一般公共预算财政拨款支出决算结构情况。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2021年度一般公共预算财政拨款支出8195.29万元，主要用于以下方面：一般公共服务（类）支出3782.54万元，占46.16%；国防（类）支出0万元,占0%；公共安全（类）支出0万元,占0%；教育（类）支出0万元,占0%；科学技术（类）支出0万元,占0%；文化旅游体育与传媒（类）支出0万元,占0%；社会保障和就业（类）支出126.43万元,占1.54%；卫生健康（类）支出0万元,占0%；节能环保（类）支出73.29万元,占0.9%；城乡社区（类）支出1265.62万元,占15.44%；农林水（类）支出2743.36万元,占33.47%；交通运输（类）支出0万元,占0%；资源勘探工业信息等（类）支出0万元,占0%；商业服务业等（类）支出0万元,占0%；金融（类）支出0万元,占0%；援助其他地区（类）支出0万元,占0%；自然资源海洋气象等（类）支出204.06万元,占2.49%；住房保障（类）支出0万元,占0%；粮油物资储备（类）支出0万元,占0%；灾害防治及应急管理（类）支出0万元,占0%；其他（类）支出0万元,占0%；债务还本（类）支出0万元,占0%；债务付息（类）支出0万元,占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b/>
          <w:bCs/>
          <w:i w:val="0"/>
          <w:caps w:val="0"/>
          <w:color w:val="000000" w:themeColor="text1"/>
          <w:spacing w:val="0"/>
          <w:sz w:val="28"/>
          <w:szCs w:val="28"/>
          <w14:textFill>
            <w14:solidFill>
              <w14:schemeClr w14:val="tx1"/>
            </w14:solidFill>
          </w14:textFill>
        </w:rPr>
      </w:pPr>
      <w:r>
        <w:rPr>
          <w:rFonts w:hint="eastAsia" w:ascii="仿宋" w:hAnsi="仿宋" w:eastAsia="仿宋" w:cs="仿宋"/>
          <w:b/>
          <w:bCs/>
          <w:i w:val="0"/>
          <w:caps w:val="0"/>
          <w:color w:val="000000" w:themeColor="text1"/>
          <w:spacing w:val="0"/>
          <w:sz w:val="28"/>
          <w:szCs w:val="28"/>
          <w:shd w:val="clear" w:fill="FFFFFF"/>
          <w14:textFill>
            <w14:solidFill>
              <w14:schemeClr w14:val="tx1"/>
            </w14:solidFill>
          </w14:textFill>
        </w:rPr>
        <w:t>3.一般公共预算财政拨款支出决算具体情况。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default"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2021年度一般公共预算财政拨款支出年初预算为5943.32万元，支出决算为8195.29万元,完成年初预算的137.89%，主要原因是一般公共服务支出及农林水支出大幅增加。其中：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一般公共服务支出（类）政府办公厅（室）及相关机构事务（款）行政运行（项）。年初预算为1622.78万元，支出决算为2801.3万元，完成年初预算的172.62%，决算数大于预算数的主要原因人员经费的增加。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一般公共服务支出（类）政府办公厅（室）及相关机构事务（款）一般行政管理事务（项）。年初预算为509.4万元，支出决算为239.4万元，完成年初预算的47%，决算数小于预算数的主要原因压缩了一般行政管理事务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一般公共服务支出（类）其他一般公共服务支出（款）其他一般公共服务支出（项）。年初预算为48万元，支出决算为741.84万元，完成年初预算的1545.5%，决算数大于预算数的主要原因年初预算一般公共服务支出（类）分解的项目较多较细，决算时计入了其他一般公共服务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社会保障和就业支出（类）行政事业单位养老支出（款）机关事业单位基本养老保险缴费支出（项）。年初预算为186.09万元，支出决算为69.36万元，完成年初预算的37.27%，决算数小于预算数的主要原因统计口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社会保障和就业支出（类）行政事业单位养老支出（款）机关事业单位职业年金缴费支出（项）。年初预算为93.05万元，支出决算为57.07万元，完成年初预算的61.33%，决算数小于预算数的主要原因统计口径问题。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节能环保支出（类）其他节能环保支出（款）其他节能环保支出（项）。年初预算为0万元，支出决算为73.29万元，决算数大于预算数的主要原因其他节能环保委托业务费的增加。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城乡社区支出（类）其他城乡社区支出（款）其他城乡社区支出（项）。年初预算为1093.44万元，支出决算为1265.62万元，完成年初预算的115.75%，决算数大于年初预算数的主要原因是城乡社区支出年初预算还设置了其他城乡社区管理事务支出，决算时计入了其他城乡社区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农林水支出（类）农业农村（款）其他农业农村支出（项）。 年初预算为70万元，支出决算为1161.74万元，完成年初预算的1659.63%，决算数大于预算数的主要原因农业配套项目支出的增加，以及部分费用年初预算时计入了城乡社区支出。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农林水支出（类）农村综合改革（款）对村民委员会和村党支部的补助（项）。年初预算为0万元，支出决算为1581.62万元，决算数大于预算数的主要原因农业农村项目支出的增加及村干部报酬支出年初未下达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自然资源海洋气象等支出（类）自然资源事务（款）行政运行（项）。年初预算为208.56万元，支出决算为204.06万元，完成年初预算的97.84%，决算数与年初预算数基本持平。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黑体" w:hAnsi="黑体" w:eastAsia="黑体" w:cs="黑体"/>
          <w:b/>
          <w:bCs/>
          <w:i w:val="0"/>
          <w:caps w:val="0"/>
          <w:color w:val="000000" w:themeColor="text1"/>
          <w:spacing w:val="0"/>
          <w:sz w:val="28"/>
          <w:szCs w:val="28"/>
          <w14:textFill>
            <w14:solidFill>
              <w14:schemeClr w14:val="tx1"/>
            </w14:solidFill>
          </w14:textFill>
        </w:rPr>
      </w:pPr>
      <w:r>
        <w:rPr>
          <w:rFonts w:hint="eastAsia" w:ascii="黑体" w:hAnsi="黑体" w:eastAsia="黑体" w:cs="黑体"/>
          <w:b/>
          <w:bCs/>
          <w:i w:val="0"/>
          <w:caps w:val="0"/>
          <w:color w:val="000000" w:themeColor="text1"/>
          <w:spacing w:val="0"/>
          <w:sz w:val="28"/>
          <w:szCs w:val="28"/>
          <w:shd w:val="clear" w:fill="FFFFFF"/>
          <w14:textFill>
            <w14:solidFill>
              <w14:schemeClr w14:val="tx1"/>
            </w14:solidFill>
          </w14:textFill>
        </w:rPr>
        <w:t>（六）一般公共预算财政拨款基本支出决算情况说明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2021年度一般公共预算财政拨款基本支出4397.4万元，其中：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right="0"/>
        <w:jc w:val="both"/>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人员经费4303.93万元，主要包括：基本工资、津贴补贴、奖金、伙食补助费、机关事业单位基本养老保险缴费、职业年金缴费、职工基本医疗保险缴费、其他社会保障缴费、住房公积金、医疗费、其他工资福利等支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公用经费93.47万元，主要包括：办公费、印刷费、水费、电费、物业管理费、差旅费、维修(护)费、租赁费、会议费、培训费、公务接待费、工会经费、福利费、其他交通费用、其他商品和服务支出。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666666"/>
          <w:spacing w:val="0"/>
          <w:sz w:val="28"/>
          <w:szCs w:val="28"/>
        </w:rPr>
      </w:pPr>
      <w:r>
        <w:rPr>
          <w:rFonts w:hint="eastAsia" w:ascii="黑体" w:hAnsi="黑体" w:eastAsia="黑体" w:cs="黑体"/>
          <w:b/>
          <w:bCs/>
          <w:i w:val="0"/>
          <w:caps w:val="0"/>
          <w:color w:val="000000" w:themeColor="text1"/>
          <w:spacing w:val="0"/>
          <w:sz w:val="28"/>
          <w:szCs w:val="28"/>
          <w:shd w:val="clear" w:fill="FFFFFF"/>
          <w:lang w:eastAsia="zh-CN"/>
          <w14:textFill>
            <w14:solidFill>
              <w14:schemeClr w14:val="tx1"/>
            </w14:solidFill>
          </w14:textFill>
        </w:rPr>
        <w:t>（</w:t>
      </w:r>
      <w:r>
        <w:rPr>
          <w:rFonts w:hint="eastAsia" w:ascii="黑体" w:hAnsi="黑体" w:eastAsia="黑体" w:cs="黑体"/>
          <w:b/>
          <w:bCs/>
          <w:i w:val="0"/>
          <w:caps w:val="0"/>
          <w:color w:val="000000" w:themeColor="text1"/>
          <w:spacing w:val="0"/>
          <w:sz w:val="28"/>
          <w:szCs w:val="28"/>
          <w:shd w:val="clear" w:fill="FFFFFF"/>
          <w14:textFill>
            <w14:solidFill>
              <w14:schemeClr w14:val="tx1"/>
            </w14:solidFill>
          </w14:textFill>
        </w:rPr>
        <w:t>七）政府性基金预算财政拨款支出决算总体情况说明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b/>
          <w:bCs/>
          <w:i w:val="0"/>
          <w:caps w:val="0"/>
          <w:color w:val="000000" w:themeColor="text1"/>
          <w:spacing w:val="0"/>
          <w:sz w:val="28"/>
          <w:szCs w:val="28"/>
          <w14:textFill>
            <w14:solidFill>
              <w14:schemeClr w14:val="tx1"/>
            </w14:solidFill>
          </w14:textFill>
        </w:rPr>
      </w:pPr>
      <w:r>
        <w:rPr>
          <w:rFonts w:hint="eastAsia" w:ascii="仿宋" w:hAnsi="仿宋" w:eastAsia="仿宋" w:cs="仿宋"/>
          <w:b/>
          <w:bCs/>
          <w:i w:val="0"/>
          <w:caps w:val="0"/>
          <w:color w:val="000000" w:themeColor="text1"/>
          <w:spacing w:val="0"/>
          <w:sz w:val="28"/>
          <w:szCs w:val="28"/>
          <w:shd w:val="clear" w:fill="FFFFFF"/>
          <w14:textFill>
            <w14:solidFill>
              <w14:schemeClr w14:val="tx1"/>
            </w14:solidFill>
          </w14:textFill>
        </w:rPr>
        <w:t>1.政府性基金预算财政拨款支出决算总体情况。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2021年度政府性基金预算财政拨款支出44103.86万元，占本年支出合计的84.33%。与2020年相比，政府性基金预算财政拨款支出增加24790.5万元，增长128.36%。主要原因是：耕地非粮化非农化整治支出及征迁补偿支出增加。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b/>
          <w:bCs/>
          <w:i w:val="0"/>
          <w:caps w:val="0"/>
          <w:color w:val="000000" w:themeColor="text1"/>
          <w:spacing w:val="0"/>
          <w:sz w:val="28"/>
          <w:szCs w:val="28"/>
          <w14:textFill>
            <w14:solidFill>
              <w14:schemeClr w14:val="tx1"/>
            </w14:solidFill>
          </w14:textFill>
        </w:rPr>
      </w:pPr>
      <w:r>
        <w:rPr>
          <w:rFonts w:hint="eastAsia" w:ascii="仿宋" w:hAnsi="仿宋" w:eastAsia="仿宋" w:cs="仿宋"/>
          <w:b/>
          <w:bCs/>
          <w:i w:val="0"/>
          <w:caps w:val="0"/>
          <w:color w:val="000000" w:themeColor="text1"/>
          <w:spacing w:val="0"/>
          <w:sz w:val="28"/>
          <w:szCs w:val="28"/>
          <w:shd w:val="clear" w:fill="FFFFFF"/>
          <w14:textFill>
            <w14:solidFill>
              <w14:schemeClr w14:val="tx1"/>
            </w14:solidFill>
          </w14:textFill>
        </w:rPr>
        <w:t>2.政府性基金预算财政拨款支出决算结构情况。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pPr>
      <w:r>
        <w:rPr>
          <w:rFonts w:hint="eastAsia" w:ascii="仿宋" w:hAnsi="仿宋" w:eastAsia="仿宋" w:cs="仿宋"/>
          <w:i w:val="0"/>
          <w:caps w:val="0"/>
          <w:color w:val="666666"/>
          <w:spacing w:val="0"/>
          <w:sz w:val="28"/>
          <w:szCs w:val="28"/>
          <w:shd w:val="clear" w:fill="FFFFFF"/>
        </w:rPr>
        <w:t>2</w:t>
      </w:r>
      <w:r>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021年度政府性基金预算财政拨款支出44103.86万元，主要用于以下方面：科学技术（类）支出0万元,占0%；文化旅游体育与传媒（类）支出0万元,占0%；社会保障和就业（类）支出0万元,占0%；节能环保（类）支出0万元,占0%；城乡社区（类）支出44103.86万元,占100%；农林水（类）支出0万元,占0%；交通运输（类）支出0万元,占0%；资源勘探信息等（类）支出0万元,占0%；金融（类）支出0万元,占0%；其他（类）支出0万元,占0%；债务付息（类）支出0万元,占0%；抗疫特别国债安排（类）支出0万元,占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sz w:val="28"/>
          <w:szCs w:val="28"/>
          <w14:textFill>
            <w14:solidFill>
              <w14:schemeClr w14:val="tx1"/>
            </w14:solidFill>
          </w14:textFill>
        </w:rPr>
      </w:pPr>
      <w:r>
        <w:rPr>
          <w:rFonts w:hint="eastAsia" w:ascii="仿宋" w:hAnsi="仿宋" w:eastAsia="仿宋" w:cs="仿宋"/>
          <w:b/>
          <w:bCs/>
          <w:i w:val="0"/>
          <w:caps w:val="0"/>
          <w:color w:val="000000" w:themeColor="text1"/>
          <w:spacing w:val="0"/>
          <w:sz w:val="28"/>
          <w:szCs w:val="28"/>
          <w:shd w:val="clear" w:fill="FFFFFF"/>
          <w14:textFill>
            <w14:solidFill>
              <w14:schemeClr w14:val="tx1"/>
            </w14:solidFill>
          </w14:textFill>
        </w:rPr>
        <w:t>3.政府性基金预算财政拨款支出决算具体情况。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2021年度政府性基金预算财政拨款支出年初预算为17000万元，支出决算为44103.86万元,完成年初预算的259.43%，主要原因是耕地非粮化非农化整治支出及征迁补偿支出增加。其中：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FF0000"/>
          <w:spacing w:val="0"/>
          <w:sz w:val="28"/>
          <w:szCs w:val="28"/>
          <w:shd w:val="clear" w:fill="FFFFFF"/>
        </w:rPr>
      </w:pPr>
      <w:r>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城乡社区支出（类）国有土地使用权出让收入安排的支出（款）土地开发支出（项），年初预算为17000万元，支出决算为44103.86万元，完成年初预算的259.43%，决算数大于预算数的主要原因是耕地非粮化非农化整治支出及部分土地出让支出列入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0"/>
        <w:jc w:val="both"/>
        <w:rPr>
          <w:rFonts w:hint="eastAsia" w:ascii="仿宋" w:hAnsi="仿宋" w:eastAsia="仿宋" w:cs="仿宋"/>
          <w:b/>
          <w:bCs w:val="0"/>
          <w:i w:val="0"/>
          <w:caps w:val="0"/>
          <w:color w:val="000000" w:themeColor="text1"/>
          <w:spacing w:val="0"/>
          <w:sz w:val="28"/>
          <w:szCs w:val="28"/>
          <w14:textFill>
            <w14:solidFill>
              <w14:schemeClr w14:val="tx1"/>
            </w14:solidFill>
          </w14:textFill>
        </w:rPr>
      </w:pPr>
      <w:r>
        <w:rPr>
          <w:rFonts w:hint="eastAsia" w:ascii="黑体" w:hAnsi="黑体" w:eastAsia="黑体" w:cs="黑体"/>
          <w:b/>
          <w:bCs w:val="0"/>
          <w:i w:val="0"/>
          <w:caps w:val="0"/>
          <w:color w:val="000000" w:themeColor="text1"/>
          <w:spacing w:val="0"/>
          <w:sz w:val="28"/>
          <w:szCs w:val="28"/>
          <w:shd w:val="clear" w:fill="FFFFFF"/>
          <w14:textFill>
            <w14:solidFill>
              <w14:schemeClr w14:val="tx1"/>
            </w14:solidFill>
          </w14:textFill>
        </w:rPr>
        <w:t>（八）国有资本经营预算财政拨款支出决算总体情况说明 </w:t>
      </w:r>
      <w:r>
        <w:rPr>
          <w:rFonts w:hint="eastAsia" w:ascii="仿宋" w:hAnsi="仿宋" w:eastAsia="仿宋" w:cs="仿宋"/>
          <w:b/>
          <w:bCs w:val="0"/>
          <w:i w:val="0"/>
          <w:caps w:val="0"/>
          <w:color w:val="000000" w:themeColor="text1"/>
          <w:spacing w:val="0"/>
          <w:sz w:val="28"/>
          <w:szCs w:val="28"/>
          <w:shd w:val="clear" w:fill="FFFFFF"/>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45"/>
        <w:jc w:val="both"/>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本单位2021年度无国有资本经营预算财政拨款收支安排，故无相关数据。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right="0"/>
        <w:jc w:val="both"/>
        <w:rPr>
          <w:rFonts w:hint="eastAsia" w:ascii="黑体" w:hAnsi="黑体" w:eastAsia="黑体" w:cs="黑体"/>
          <w:i w:val="0"/>
          <w:caps w:val="0"/>
          <w:color w:val="666666"/>
          <w:spacing w:val="0"/>
          <w:sz w:val="28"/>
          <w:szCs w:val="28"/>
        </w:rPr>
      </w:pPr>
      <w:r>
        <w:rPr>
          <w:rFonts w:hint="eastAsia" w:ascii="黑体" w:hAnsi="黑体" w:eastAsia="黑体" w:cs="黑体"/>
          <w:b/>
          <w:bCs/>
          <w:i w:val="0"/>
          <w:caps w:val="0"/>
          <w:color w:val="000000" w:themeColor="text1"/>
          <w:spacing w:val="0"/>
          <w:sz w:val="28"/>
          <w:szCs w:val="28"/>
          <w:shd w:val="clear" w:fill="FFFFFF"/>
          <w14:textFill>
            <w14:solidFill>
              <w14:schemeClr w14:val="tx1"/>
            </w14:solidFill>
          </w14:textFill>
        </w:rPr>
        <w:t>（九）一般公共预算财政拨款</w:t>
      </w:r>
      <w:r>
        <w:rPr>
          <w:rStyle w:val="5"/>
          <w:rFonts w:hint="eastAsia" w:ascii="黑体" w:hAnsi="黑体" w:eastAsia="黑体" w:cs="黑体"/>
          <w:b/>
          <w:bCs/>
          <w:i w:val="0"/>
          <w:caps w:val="0"/>
          <w:color w:val="000000" w:themeColor="text1"/>
          <w:spacing w:val="0"/>
          <w:sz w:val="28"/>
          <w:szCs w:val="28"/>
          <w:shd w:val="clear" w:fill="FFFFFF"/>
          <w14:textFill>
            <w14:solidFill>
              <w14:schemeClr w14:val="tx1"/>
            </w14:solidFill>
          </w14:textFill>
        </w:rPr>
        <w:t>“三公”经费支出决算情况说明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666666"/>
          <w:spacing w:val="0"/>
          <w:sz w:val="28"/>
          <w:szCs w:val="28"/>
        </w:rPr>
      </w:pPr>
      <w:r>
        <w:rPr>
          <w:rFonts w:hint="eastAsia" w:ascii="仿宋" w:hAnsi="仿宋" w:eastAsia="仿宋" w:cs="仿宋"/>
          <w:b/>
          <w:bCs/>
          <w:i w:val="0"/>
          <w:caps w:val="0"/>
          <w:color w:val="000000" w:themeColor="text1"/>
          <w:spacing w:val="0"/>
          <w:sz w:val="28"/>
          <w:szCs w:val="28"/>
          <w:shd w:val="clear" w:fill="FFFFFF"/>
          <w14:textFill>
            <w14:solidFill>
              <w14:schemeClr w14:val="tx1"/>
            </w14:solidFill>
          </w14:textFill>
        </w:rPr>
        <w:t>1.“三公”经费一般公共预算财政拨款支出决算总体情况说明。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45"/>
        <w:jc w:val="both"/>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2021年度“三公”经费一般公共预算财政拨款支出预算为20万元，支出决算为15.65万元，完成预算的78.25%，2021年度“三公”经费支出决算数小于预算数的主要原因是严控报销标准，规范报销程序，普通公务招待费用按人均60元标准给予核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666666"/>
          <w:spacing w:val="0"/>
          <w:sz w:val="28"/>
          <w:szCs w:val="28"/>
        </w:rPr>
      </w:pPr>
      <w:r>
        <w:rPr>
          <w:rFonts w:hint="eastAsia" w:ascii="仿宋" w:hAnsi="仿宋" w:eastAsia="仿宋" w:cs="仿宋"/>
          <w:b/>
          <w:bCs/>
          <w:i w:val="0"/>
          <w:caps w:val="0"/>
          <w:color w:val="000000" w:themeColor="text1"/>
          <w:spacing w:val="0"/>
          <w:sz w:val="28"/>
          <w:szCs w:val="28"/>
          <w:shd w:val="clear" w:fill="FFFFFF"/>
          <w14:textFill>
            <w14:solidFill>
              <w14:schemeClr w14:val="tx1"/>
            </w14:solidFill>
          </w14:textFill>
        </w:rPr>
        <w:t>2.“三公”经费一般公共预算财政拨款支出决算具体情况说明。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45"/>
        <w:jc w:val="both"/>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2021年度“三公”经费一般公共预算财政拨款支出决算中，因公出国（境）费用支出决算为0万元，占0%，与2020年度相比，增加0万元，增长0%，主要原因是无因公出国（境）费用支出；公务用车购置及运行维护费支出决算为0万元，占0%，与2020年度相比，增加0万元，增长0%，主要原因是无公务用车购置及运行维护费支出；公务接待费支出决算为15.65万元，占100%，与2020年度相比，减少0.68万元，减少4.16%，主要原因是2020年省级美丽乡村现场会的筹备及举行支出较多。具体情况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pPr>
      <w:r>
        <w:rPr>
          <w:rStyle w:val="5"/>
          <w:rFonts w:hint="eastAsia" w:ascii="仿宋" w:hAnsi="仿宋" w:eastAsia="仿宋" w:cs="仿宋"/>
          <w:i w:val="0"/>
          <w:caps w:val="0"/>
          <w:color w:val="000000" w:themeColor="text1"/>
          <w:spacing w:val="0"/>
          <w:sz w:val="28"/>
          <w:szCs w:val="28"/>
          <w:shd w:val="clear" w:fill="FFFFFF"/>
          <w14:textFill>
            <w14:solidFill>
              <w14:schemeClr w14:val="tx1"/>
            </w14:solidFill>
          </w14:textFill>
        </w:rPr>
        <w:t>（1）因公出国（境）费</w:t>
      </w:r>
      <w:r>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预算数为0万元，支出决算为0万元。完成预算的0%。主要用于单位人员等公务出国（境）的住宿费、国际旅费、培训费、公杂费等支出。决算数等于预算数的主要原因是无因公出国（境）费用。全年使用一般公共预算财政拨款支出涉及因公出国(境)团组0个；累计0人次。本年无开支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pPr>
      <w:r>
        <w:rPr>
          <w:rStyle w:val="5"/>
          <w:rFonts w:hint="eastAsia" w:ascii="仿宋" w:hAnsi="仿宋" w:eastAsia="仿宋" w:cs="仿宋"/>
          <w:i w:val="0"/>
          <w:caps w:val="0"/>
          <w:color w:val="000000" w:themeColor="text1"/>
          <w:spacing w:val="0"/>
          <w:sz w:val="28"/>
          <w:szCs w:val="28"/>
          <w:shd w:val="clear" w:fill="FFFFFF"/>
          <w14:textFill>
            <w14:solidFill>
              <w14:schemeClr w14:val="tx1"/>
            </w14:solidFill>
          </w14:textFill>
        </w:rPr>
        <w:t>（2）公务用车购置及运行维护费</w:t>
      </w:r>
      <w:r>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预算数为0万元，支出决算为0万元，完成预算的0%。决算数等于预算数的主要原因是无公务用车购置及运行维护费支出。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公务用车购置预算数为0万元，支出决算为0万元（含购置税等附加费用），完成预算的0%。决算数等于预算数的主要原因是无公务用车购置支出。主要用于经批准购置的0辆公务用车；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公务用车运行维护费预算数为0万元，支出0万元，完成预算的0%。决算数等于预算数的主要原因是无公务用车运行维护费。主要用于执行公务等所需的公务用车燃料费、维修费、过路过桥费、保险费、安全奖励费用等支出；2021年度，本级开支一般公共预算财政拨款的公务用车保有量为0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pPr>
      <w:r>
        <w:rPr>
          <w:rStyle w:val="5"/>
          <w:rFonts w:hint="eastAsia" w:ascii="仿宋" w:hAnsi="仿宋" w:eastAsia="仿宋" w:cs="仿宋"/>
          <w:i w:val="0"/>
          <w:caps w:val="0"/>
          <w:color w:val="000000" w:themeColor="text1"/>
          <w:spacing w:val="0"/>
          <w:sz w:val="28"/>
          <w:szCs w:val="28"/>
          <w:shd w:val="clear" w:fill="FFFFFF"/>
          <w14:textFill>
            <w14:solidFill>
              <w14:schemeClr w14:val="tx1"/>
            </w14:solidFill>
          </w14:textFill>
        </w:rPr>
        <w:t>（3）公务接待费</w:t>
      </w: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预</w:t>
      </w:r>
      <w:r>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算数为20万元，支出决算为15.65万元，完成预算的78.25%。主要用于接待接待招商等支出。决算数小于预算数的主要原因是接待招商减少。全年使用一般公共预算财政拨款国内公务接待475团组，累计2610人次。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pPr>
      <w:r>
        <w:rPr>
          <w:rStyle w:val="5"/>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外事接待</w:t>
      </w:r>
      <w:r>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支出0万元，接待0团组，0人次。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pPr>
      <w:r>
        <w:rPr>
          <w:rStyle w:val="5"/>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其他国内公务接待</w:t>
      </w:r>
      <w:r>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支出15.65万元，主要用于上级部门接待及招商项目。接待475团组，2610人次。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黑体" w:hAnsi="黑体" w:eastAsia="黑体" w:cs="黑体"/>
          <w:b/>
          <w:bCs/>
          <w:i w:val="0"/>
          <w:caps w:val="0"/>
          <w:color w:val="000000" w:themeColor="text1"/>
          <w:spacing w:val="0"/>
          <w:sz w:val="28"/>
          <w:szCs w:val="28"/>
          <w:shd w:val="clear" w:fill="FFFFFF"/>
          <w14:textFill>
            <w14:solidFill>
              <w14:schemeClr w14:val="tx1"/>
            </w14:solidFill>
          </w14:textFill>
        </w:rPr>
      </w:pPr>
      <w:r>
        <w:rPr>
          <w:rFonts w:hint="eastAsia" w:ascii="黑体" w:hAnsi="黑体" w:eastAsia="黑体" w:cs="黑体"/>
          <w:b/>
          <w:bCs/>
          <w:i w:val="0"/>
          <w:caps w:val="0"/>
          <w:color w:val="000000" w:themeColor="text1"/>
          <w:spacing w:val="0"/>
          <w:sz w:val="28"/>
          <w:szCs w:val="28"/>
          <w:shd w:val="clear" w:fill="FFFFFF"/>
          <w14:textFill>
            <w14:solidFill>
              <w14:schemeClr w14:val="tx1"/>
            </w14:solidFill>
          </w14:textFill>
        </w:rPr>
        <w:t>（十）机关运行经费支出说明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2021年度机关运行经费年初预算数为384.57万元，支出决算为332.87万元，完成年初预算的86.56%，决算数小于预算数的主要原因厉行节约，缩减办公经费；比2020年度减少255.2万元，下降43.4%，主要原因是厉行节约，缩减办公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黑体" w:hAnsi="黑体" w:eastAsia="黑体" w:cs="黑体"/>
          <w:b/>
          <w:bCs/>
          <w:i w:val="0"/>
          <w:caps w:val="0"/>
          <w:color w:val="000000" w:themeColor="text1"/>
          <w:spacing w:val="0"/>
          <w:sz w:val="28"/>
          <w:szCs w:val="28"/>
          <w:shd w:val="clear" w:fill="FFFFFF"/>
          <w:lang w:eastAsia="zh-CN"/>
          <w14:textFill>
            <w14:solidFill>
              <w14:schemeClr w14:val="tx1"/>
            </w14:solidFill>
          </w14:textFill>
        </w:rPr>
      </w:pPr>
      <w:r>
        <w:rPr>
          <w:rFonts w:hint="eastAsia" w:ascii="黑体" w:hAnsi="黑体" w:eastAsia="黑体" w:cs="黑体"/>
          <w:b/>
          <w:bCs/>
          <w:i w:val="0"/>
          <w:caps w:val="0"/>
          <w:color w:val="000000" w:themeColor="text1"/>
          <w:spacing w:val="0"/>
          <w:sz w:val="28"/>
          <w:szCs w:val="28"/>
          <w:shd w:val="clear" w:fill="FFFFFF"/>
          <w:lang w:eastAsia="zh-CN"/>
          <w14:textFill>
            <w14:solidFill>
              <w14:schemeClr w14:val="tx1"/>
            </w14:solidFill>
          </w14:textFill>
        </w:rPr>
        <w:t>（十一）政府采购支出说明</w:t>
      </w:r>
    </w:p>
    <w:p>
      <w:pPr>
        <w:keepNext w:val="0"/>
        <w:keepLines w:val="0"/>
        <w:widowControl/>
        <w:suppressLineNumbers w:val="0"/>
        <w:ind w:firstLine="560" w:firstLineChars="200"/>
        <w:jc w:val="left"/>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t>2021年度政府采购支出总额2852.28万元，其中：政府采购货物支出0万元、政府采购工程支出0万元、政府采购服务支出2852.28万元。授予中小企业合同金额2852.28万元，占政府采购支出总额的100%。其中，授予小微企业合同金额2852.28万元，占授予中小企业合同金额的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黑体" w:hAnsi="黑体" w:eastAsia="黑体" w:cs="黑体"/>
          <w:b/>
          <w:bCs/>
          <w:i w:val="0"/>
          <w:caps w:val="0"/>
          <w:color w:val="000000" w:themeColor="text1"/>
          <w:spacing w:val="0"/>
          <w:sz w:val="28"/>
          <w:szCs w:val="28"/>
          <w14:textFill>
            <w14:solidFill>
              <w14:schemeClr w14:val="tx1"/>
            </w14:solidFill>
          </w14:textFill>
        </w:rPr>
      </w:pPr>
      <w:r>
        <w:rPr>
          <w:rFonts w:hint="eastAsia" w:ascii="黑体" w:hAnsi="黑体" w:eastAsia="黑体" w:cs="黑体"/>
          <w:b/>
          <w:bCs/>
          <w:i w:val="0"/>
          <w:caps w:val="0"/>
          <w:color w:val="000000" w:themeColor="text1"/>
          <w:spacing w:val="0"/>
          <w:sz w:val="28"/>
          <w:szCs w:val="28"/>
          <w:shd w:val="clear" w:fill="FFFFFF"/>
          <w14:textFill>
            <w14:solidFill>
              <w14:schemeClr w14:val="tx1"/>
            </w14:solidFill>
          </w14:textFill>
        </w:rPr>
        <w:t>（十二）国有资产占有情况说明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t>截至2021年12月31日，义亭镇人民政府本级及所属各单位共有车辆0辆，其中，副部（省）级及以上领导用车0辆、主要领导干部用车0辆、机要通信用车0辆、应急保障用车0辆、执法执勤用车0辆、特种专业技术用车0辆、离退休干部用车0辆、其他用车0辆；单价50万元以上通用设备0台（套），单价100万元以上专用设备0台（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黑体" w:hAnsi="黑体" w:eastAsia="黑体" w:cs="黑体"/>
          <w:b/>
          <w:bCs/>
          <w:i w:val="0"/>
          <w:caps w:val="0"/>
          <w:color w:val="000000" w:themeColor="text1"/>
          <w:spacing w:val="0"/>
          <w:sz w:val="28"/>
          <w:szCs w:val="28"/>
          <w14:textFill>
            <w14:solidFill>
              <w14:schemeClr w14:val="tx1"/>
            </w14:solidFill>
          </w14:textFill>
        </w:rPr>
      </w:pPr>
      <w:r>
        <w:rPr>
          <w:rFonts w:hint="eastAsia" w:ascii="黑体" w:hAnsi="黑体" w:eastAsia="黑体" w:cs="黑体"/>
          <w:b/>
          <w:bCs/>
          <w:i w:val="0"/>
          <w:caps w:val="0"/>
          <w:color w:val="000000" w:themeColor="text1"/>
          <w:spacing w:val="0"/>
          <w:sz w:val="28"/>
          <w:szCs w:val="28"/>
          <w:shd w:val="clear" w:fill="FFFFFF"/>
          <w14:textFill>
            <w14:solidFill>
              <w14:schemeClr w14:val="tx1"/>
            </w14:solidFill>
          </w14:textFill>
        </w:rPr>
        <w:t>（十三）预算绩效情况说明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b/>
          <w:bCs/>
          <w:i w:val="0"/>
          <w:caps w:val="0"/>
          <w:color w:val="000000" w:themeColor="text1"/>
          <w:spacing w:val="0"/>
          <w:sz w:val="28"/>
          <w:szCs w:val="28"/>
          <w14:textFill>
            <w14:solidFill>
              <w14:schemeClr w14:val="tx1"/>
            </w14:solidFill>
          </w14:textFill>
        </w:rPr>
      </w:pPr>
      <w:r>
        <w:rPr>
          <w:rFonts w:hint="eastAsia" w:ascii="仿宋" w:hAnsi="仿宋" w:eastAsia="仿宋" w:cs="仿宋"/>
          <w:b/>
          <w:bCs/>
          <w:i w:val="0"/>
          <w:caps w:val="0"/>
          <w:color w:val="000000" w:themeColor="text1"/>
          <w:spacing w:val="0"/>
          <w:sz w:val="28"/>
          <w:szCs w:val="28"/>
          <w:shd w:val="clear" w:fill="FFFFFF"/>
          <w14:textFill>
            <w14:solidFill>
              <w14:schemeClr w14:val="tx1"/>
            </w14:solidFill>
          </w14:textFill>
        </w:rPr>
        <w:t>1.预算绩效管理工作开展情况。</w:t>
      </w:r>
    </w:p>
    <w:p>
      <w:pPr>
        <w:keepNext w:val="0"/>
        <w:keepLines w:val="0"/>
        <w:widowControl/>
        <w:suppressLineNumbers w:val="0"/>
        <w:ind w:firstLine="560" w:firstLineChars="200"/>
        <w:jc w:val="left"/>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t>根据预算绩效管理要求，义乌市义亭镇人民政府组织对2021年度一般公共预算项目支出全面开展绩效自评，其中，一级项目0个，二级项目19个，共涉及资金4001.61万元，占一般公共预算项目支出总额的79.39%。组织对2021年度镇区等清扫保洁及垃圾清运（含临时创建及垃圾桶购买）及义亭各村卫生服务站改建工程等34个政府性基金预算项目支出开展绩效自评，共涉及资金40936.67万元，占政府性基金预算项目支出总额的100%。本年无国有资本经营预算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35" w:right="0" w:firstLine="420"/>
        <w:jc w:val="both"/>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t>组织对本部门开展整体支出绩效评价试点，从评价情况来看，从预算管理、预算执行管理、预算监督、存量资金债务管理、效益管理等方面对照评价指标和评分标准，进行了综合评价，义乌市义亭镇人民政府2021年财政运行综合绩效评价等级为良好。</w:t>
      </w:r>
    </w:p>
    <w:p>
      <w:pPr>
        <w:keepNext w:val="0"/>
        <w:keepLines w:val="0"/>
        <w:widowControl/>
        <w:suppressLineNumbers w:val="0"/>
        <w:ind w:firstLine="560" w:firstLineChars="200"/>
        <w:jc w:val="left"/>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t>本年无下属部门或单位整体支出绩效评价。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FF0000"/>
          <w:spacing w:val="0"/>
          <w:sz w:val="28"/>
          <w:szCs w:val="28"/>
        </w:rPr>
      </w:pPr>
      <w:r>
        <w:rPr>
          <w:rFonts w:hint="eastAsia" w:ascii="仿宋" w:hAnsi="仿宋" w:eastAsia="仿宋" w:cs="仿宋"/>
          <w:b/>
          <w:bCs/>
          <w:i w:val="0"/>
          <w:caps w:val="0"/>
          <w:color w:val="000000" w:themeColor="text1"/>
          <w:spacing w:val="0"/>
          <w:sz w:val="28"/>
          <w:szCs w:val="28"/>
          <w:shd w:val="clear" w:fill="FFFFFF"/>
          <w14:textFill>
            <w14:solidFill>
              <w14:schemeClr w14:val="tx1"/>
            </w14:solidFill>
          </w14:textFill>
        </w:rPr>
        <w:t>2.部门决算中项目绩效自评结果。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t>义亭镇人民政府在2021年度部门决算中反映镇区等清扫保洁及垃圾清运（含临时创建及垃圾桶购买）项目及公共卫生及计生经费项目绩效自评结果。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t>镇区等清扫保洁及垃圾清运（含临时创建及垃圾桶购买）项目绩效自评综述：根据年初设定的绩效目标，项目自评得分95分，自评结论为“优”。项目全年预算数为1600万元，执行数为1600万元，完成预算的100%。项目绩效目标完成情况：一是环卫设备由中标单位全包干，减轻财政压力；二是提供一个整洁卫生的生活环境；三是减少垃圾污染、保护环境；四是政府从主导到督导的转变，进一步完善环卫管理。发现的问题及原因：一是部分镇区卫生死角未能及时清理；二是群众保护环境意识不强，随意丢弃垃圾。下一步改进措施：加强宣传教育引导，增强群众参与环境治理的行动与意识。</w:t>
      </w:r>
    </w:p>
    <w:tbl>
      <w:tblPr>
        <w:tblStyle w:val="3"/>
        <w:tblW w:w="8965" w:type="dxa"/>
        <w:tblInd w:w="-76" w:type="dxa"/>
        <w:tblLayout w:type="fixed"/>
        <w:tblCellMar>
          <w:top w:w="0" w:type="dxa"/>
          <w:left w:w="0" w:type="dxa"/>
          <w:bottom w:w="0" w:type="dxa"/>
          <w:right w:w="0" w:type="dxa"/>
        </w:tblCellMar>
      </w:tblPr>
      <w:tblGrid>
        <w:gridCol w:w="458"/>
        <w:gridCol w:w="492"/>
        <w:gridCol w:w="885"/>
        <w:gridCol w:w="108"/>
        <w:gridCol w:w="1125"/>
        <w:gridCol w:w="345"/>
        <w:gridCol w:w="1461"/>
        <w:gridCol w:w="1224"/>
        <w:gridCol w:w="252"/>
        <w:gridCol w:w="543"/>
        <w:gridCol w:w="765"/>
        <w:gridCol w:w="300"/>
        <w:gridCol w:w="1007"/>
      </w:tblGrid>
      <w:tr>
        <w:tblPrEx>
          <w:tblCellMar>
            <w:top w:w="0" w:type="dxa"/>
            <w:left w:w="0" w:type="dxa"/>
            <w:bottom w:w="0" w:type="dxa"/>
            <w:right w:w="0" w:type="dxa"/>
          </w:tblCellMar>
        </w:tblPrEx>
        <w:trPr>
          <w:trHeight w:val="450" w:hRule="atLeast"/>
        </w:trPr>
        <w:tc>
          <w:tcPr>
            <w:tcW w:w="8965" w:type="dxa"/>
            <w:gridSpan w:val="13"/>
            <w:tcBorders>
              <w:top w:val="nil"/>
              <w:left w:val="nil"/>
              <w:bottom w:val="nil"/>
              <w:right w:val="nil"/>
            </w:tcBorders>
            <w:shd w:val="clear" w:color="auto" w:fill="FFFFFF"/>
            <w:noWrap w:val="0"/>
            <w:tcMar>
              <w:top w:w="0" w:type="dxa"/>
              <w:left w:w="105" w:type="dxa"/>
              <w:bottom w:w="0" w:type="dxa"/>
              <w:right w:w="105" w:type="dxa"/>
            </w:tcMar>
            <w:vAlign w:val="center"/>
          </w:tcPr>
          <w:p>
            <w:pPr>
              <w:widowControl/>
              <w:wordWrap w:val="0"/>
              <w:spacing w:line="315" w:lineRule="atLeast"/>
              <w:jc w:val="center"/>
              <w:rPr>
                <w:rFonts w:ascii="微软雅黑" w:hAnsi="微软雅黑" w:eastAsia="微软雅黑" w:cs="宋体"/>
                <w:spacing w:val="7"/>
                <w:kern w:val="0"/>
                <w:sz w:val="28"/>
                <w:szCs w:val="28"/>
              </w:rPr>
            </w:pPr>
            <w:r>
              <w:rPr>
                <w:rFonts w:hint="eastAsia" w:ascii="方正小标宋简体" w:hAnsi="方正小标宋简体" w:eastAsia="方正小标宋简体" w:cs="方正小标宋简体"/>
                <w:spacing w:val="7"/>
                <w:kern w:val="0"/>
                <w:sz w:val="44"/>
                <w:szCs w:val="44"/>
              </w:rPr>
              <w:t>义乌市财政项目支出绩效自评表</w:t>
            </w:r>
          </w:p>
        </w:tc>
      </w:tr>
      <w:tr>
        <w:tblPrEx>
          <w:tblCellMar>
            <w:top w:w="0" w:type="dxa"/>
            <w:left w:w="0" w:type="dxa"/>
            <w:bottom w:w="0" w:type="dxa"/>
            <w:right w:w="0" w:type="dxa"/>
          </w:tblCellMar>
        </w:tblPrEx>
        <w:trPr>
          <w:trHeight w:val="195" w:hRule="atLeast"/>
        </w:trPr>
        <w:tc>
          <w:tcPr>
            <w:tcW w:w="8965" w:type="dxa"/>
            <w:gridSpan w:val="13"/>
            <w:tcBorders>
              <w:top w:val="nil"/>
              <w:left w:val="nil"/>
              <w:bottom w:val="nil"/>
              <w:right w:val="nil"/>
            </w:tcBorders>
            <w:shd w:val="clear" w:color="auto" w:fill="FFFFFF"/>
            <w:noWrap w:val="0"/>
            <w:tcMar>
              <w:top w:w="0" w:type="dxa"/>
              <w:left w:w="105" w:type="dxa"/>
              <w:bottom w:w="0" w:type="dxa"/>
              <w:right w:w="105" w:type="dxa"/>
            </w:tcMar>
            <w:vAlign w:val="top"/>
          </w:tcPr>
          <w:p>
            <w:pPr>
              <w:widowControl/>
              <w:wordWrap w:val="0"/>
              <w:spacing w:line="195" w:lineRule="atLeast"/>
              <w:jc w:val="center"/>
              <w:rPr>
                <w:rFonts w:hint="eastAsia" w:ascii="宋体" w:hAnsi="宋体" w:cs="宋体"/>
                <w:spacing w:val="7"/>
                <w:kern w:val="0"/>
                <w:sz w:val="18"/>
                <w:szCs w:val="18"/>
              </w:rPr>
            </w:pPr>
            <w:r>
              <w:rPr>
                <w:rFonts w:hint="eastAsia" w:ascii="宋体" w:hAnsi="宋体" w:cs="宋体"/>
                <w:spacing w:val="7"/>
                <w:kern w:val="0"/>
                <w:sz w:val="18"/>
                <w:szCs w:val="18"/>
              </w:rPr>
              <w:t>（</w:t>
            </w:r>
            <w:r>
              <w:rPr>
                <w:rFonts w:ascii="宋体" w:hAnsi="宋体" w:cs="宋体"/>
                <w:spacing w:val="7"/>
                <w:kern w:val="0"/>
                <w:sz w:val="18"/>
                <w:szCs w:val="18"/>
              </w:rPr>
              <w:t xml:space="preserve">   </w:t>
            </w:r>
            <w:r>
              <w:rPr>
                <w:rFonts w:hint="eastAsia" w:ascii="宋体" w:hAnsi="宋体" w:cs="宋体"/>
                <w:spacing w:val="7"/>
                <w:kern w:val="0"/>
                <w:sz w:val="18"/>
                <w:szCs w:val="18"/>
                <w:lang w:val="en-US" w:eastAsia="zh-CN"/>
              </w:rPr>
              <w:t>2021</w:t>
            </w:r>
            <w:r>
              <w:rPr>
                <w:rFonts w:ascii="宋体" w:hAnsi="宋体" w:cs="宋体"/>
                <w:spacing w:val="7"/>
                <w:kern w:val="0"/>
                <w:sz w:val="18"/>
                <w:szCs w:val="18"/>
              </w:rPr>
              <w:t> </w:t>
            </w:r>
            <w:r>
              <w:rPr>
                <w:rFonts w:hint="eastAsia" w:ascii="宋体" w:hAnsi="宋体" w:cs="宋体"/>
                <w:spacing w:val="7"/>
                <w:kern w:val="0"/>
                <w:sz w:val="18"/>
                <w:szCs w:val="18"/>
              </w:rPr>
              <w:t>年度）</w:t>
            </w:r>
          </w:p>
          <w:p>
            <w:pPr>
              <w:widowControl/>
              <w:wordWrap w:val="0"/>
              <w:spacing w:line="195" w:lineRule="atLeast"/>
              <w:rPr>
                <w:rFonts w:hint="eastAsia" w:ascii="宋体" w:hAnsi="宋体" w:eastAsia="宋体" w:cs="宋体"/>
                <w:spacing w:val="7"/>
                <w:kern w:val="0"/>
                <w:sz w:val="18"/>
                <w:szCs w:val="18"/>
                <w:lang w:eastAsia="zh-CN"/>
              </w:rPr>
            </w:pPr>
            <w:r>
              <w:rPr>
                <w:rFonts w:hint="eastAsia" w:ascii="宋体" w:hAnsi="宋体" w:cs="宋体"/>
                <w:spacing w:val="7"/>
                <w:kern w:val="0"/>
                <w:sz w:val="18"/>
                <w:szCs w:val="18"/>
              </w:rPr>
              <w:t xml:space="preserve"> 单位名称（盖章）：</w:t>
            </w:r>
            <w:r>
              <w:rPr>
                <w:rFonts w:hint="eastAsia" w:ascii="宋体" w:hAnsi="宋体" w:cs="宋体"/>
                <w:spacing w:val="7"/>
                <w:kern w:val="0"/>
                <w:sz w:val="18"/>
                <w:szCs w:val="18"/>
                <w:lang w:eastAsia="zh-CN"/>
              </w:rPr>
              <w:t>义亭镇人民政府</w:t>
            </w:r>
          </w:p>
        </w:tc>
      </w:tr>
      <w:tr>
        <w:tblPrEx>
          <w:tblCellMar>
            <w:top w:w="0" w:type="dxa"/>
            <w:left w:w="0" w:type="dxa"/>
            <w:bottom w:w="0" w:type="dxa"/>
            <w:right w:w="0" w:type="dxa"/>
          </w:tblCellMar>
        </w:tblPrEx>
        <w:trPr>
          <w:trHeight w:val="300" w:hRule="atLeast"/>
        </w:trPr>
        <w:tc>
          <w:tcPr>
            <w:tcW w:w="950" w:type="dxa"/>
            <w:gridSpan w:val="2"/>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项目名称</w:t>
            </w:r>
          </w:p>
        </w:tc>
        <w:tc>
          <w:tcPr>
            <w:tcW w:w="8015" w:type="dxa"/>
            <w:gridSpan w:val="11"/>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镇区等清扫保洁及垃圾清运（含临时创建及垃圾桶购买）</w:t>
            </w:r>
          </w:p>
        </w:tc>
      </w:tr>
      <w:tr>
        <w:tblPrEx>
          <w:tblCellMar>
            <w:top w:w="0" w:type="dxa"/>
            <w:left w:w="0" w:type="dxa"/>
            <w:bottom w:w="0" w:type="dxa"/>
            <w:right w:w="0" w:type="dxa"/>
          </w:tblCellMar>
        </w:tblPrEx>
        <w:trPr>
          <w:trHeight w:val="300" w:hRule="atLeast"/>
        </w:trPr>
        <w:tc>
          <w:tcPr>
            <w:tcW w:w="950" w:type="dxa"/>
            <w:gridSpan w:val="2"/>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主管部门</w:t>
            </w:r>
          </w:p>
        </w:tc>
        <w:tc>
          <w:tcPr>
            <w:tcW w:w="3924" w:type="dxa"/>
            <w:gridSpan w:val="5"/>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315" w:lineRule="atLeast"/>
              <w:jc w:val="center"/>
              <w:rPr>
                <w:rFonts w:hint="eastAsia" w:ascii="仿宋_GB2312" w:hAnsi="仿宋_GB2312" w:eastAsia="仿宋_GB2312" w:cs="仿宋_GB2312"/>
                <w:spacing w:val="7"/>
                <w:kern w:val="0"/>
                <w:sz w:val="24"/>
                <w:szCs w:val="24"/>
                <w:lang w:eastAsia="zh-CN"/>
              </w:rPr>
            </w:pPr>
            <w:r>
              <w:rPr>
                <w:rFonts w:hint="eastAsia" w:ascii="仿宋_GB2312" w:hAnsi="仿宋_GB2312" w:eastAsia="仿宋_GB2312" w:cs="仿宋_GB2312"/>
                <w:spacing w:val="7"/>
                <w:kern w:val="0"/>
                <w:sz w:val="24"/>
                <w:szCs w:val="24"/>
                <w:lang w:eastAsia="zh-CN"/>
              </w:rPr>
              <w:t>义亭镇人民政府</w:t>
            </w:r>
          </w:p>
        </w:tc>
        <w:tc>
          <w:tcPr>
            <w:tcW w:w="1476"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项目单位</w:t>
            </w:r>
          </w:p>
        </w:tc>
        <w:tc>
          <w:tcPr>
            <w:tcW w:w="2615" w:type="dxa"/>
            <w:gridSpan w:val="4"/>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lang w:val="en-US" w:eastAsia="zh-CN"/>
              </w:rPr>
            </w:pPr>
            <w:r>
              <w:rPr>
                <w:rFonts w:hint="eastAsia" w:ascii="仿宋_GB2312" w:hAnsi="仿宋_GB2312" w:eastAsia="仿宋_GB2312" w:cs="仿宋_GB2312"/>
                <w:spacing w:val="7"/>
                <w:kern w:val="0"/>
                <w:sz w:val="24"/>
                <w:szCs w:val="24"/>
                <w:lang w:val="en-US" w:eastAsia="zh-CN"/>
              </w:rPr>
              <w:t xml:space="preserve"> 义亭镇本级</w:t>
            </w:r>
          </w:p>
        </w:tc>
      </w:tr>
      <w:tr>
        <w:tblPrEx>
          <w:tblCellMar>
            <w:top w:w="0" w:type="dxa"/>
            <w:left w:w="0" w:type="dxa"/>
            <w:bottom w:w="0" w:type="dxa"/>
            <w:right w:w="0" w:type="dxa"/>
          </w:tblCellMar>
        </w:tblPrEx>
        <w:trPr>
          <w:trHeight w:val="495" w:hRule="atLeast"/>
        </w:trPr>
        <w:tc>
          <w:tcPr>
            <w:tcW w:w="950" w:type="dxa"/>
            <w:gridSpan w:val="2"/>
            <w:vMerge w:val="restart"/>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项目资金（万元）</w:t>
            </w:r>
          </w:p>
        </w:tc>
        <w:tc>
          <w:tcPr>
            <w:tcW w:w="2463" w:type="dxa"/>
            <w:gridSpan w:val="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p>
        </w:tc>
        <w:tc>
          <w:tcPr>
            <w:tcW w:w="1461"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年初预算数</w:t>
            </w:r>
          </w:p>
        </w:tc>
        <w:tc>
          <w:tcPr>
            <w:tcW w:w="1476"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全年预算数</w:t>
            </w:r>
          </w:p>
        </w:tc>
        <w:tc>
          <w:tcPr>
            <w:tcW w:w="1608" w:type="dxa"/>
            <w:gridSpan w:val="3"/>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全年执行数</w:t>
            </w:r>
          </w:p>
        </w:tc>
        <w:tc>
          <w:tcPr>
            <w:tcW w:w="1007"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执行率</w:t>
            </w:r>
          </w:p>
        </w:tc>
      </w:tr>
      <w:tr>
        <w:tblPrEx>
          <w:tblCellMar>
            <w:top w:w="0" w:type="dxa"/>
            <w:left w:w="0" w:type="dxa"/>
            <w:bottom w:w="0" w:type="dxa"/>
            <w:right w:w="0" w:type="dxa"/>
          </w:tblCellMar>
        </w:tblPrEx>
        <w:trPr>
          <w:trHeight w:val="300" w:hRule="atLeast"/>
        </w:trPr>
        <w:tc>
          <w:tcPr>
            <w:tcW w:w="950" w:type="dxa"/>
            <w:gridSpan w:val="2"/>
            <w:vMerge w:val="continue"/>
            <w:tcBorders>
              <w:top w:val="nil"/>
              <w:left w:val="single" w:color="auto" w:sz="6" w:space="0"/>
              <w:bottom w:val="single" w:color="auto" w:sz="6" w:space="0"/>
              <w:right w:val="single" w:color="auto" w:sz="6" w:space="0"/>
            </w:tcBorders>
            <w:shd w:val="clear" w:color="auto" w:fill="FFFFFF"/>
            <w:noWrap w:val="0"/>
            <w:vAlign w:val="center"/>
          </w:tcPr>
          <w:p>
            <w:pPr>
              <w:widowControl/>
              <w:jc w:val="left"/>
              <w:rPr>
                <w:rFonts w:hint="eastAsia" w:ascii="仿宋_GB2312" w:hAnsi="仿宋_GB2312" w:eastAsia="仿宋_GB2312" w:cs="仿宋_GB2312"/>
                <w:spacing w:val="7"/>
                <w:kern w:val="0"/>
                <w:sz w:val="24"/>
                <w:szCs w:val="24"/>
              </w:rPr>
            </w:pPr>
          </w:p>
        </w:tc>
        <w:tc>
          <w:tcPr>
            <w:tcW w:w="2463" w:type="dxa"/>
            <w:gridSpan w:val="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年度资金总额</w:t>
            </w:r>
          </w:p>
        </w:tc>
        <w:tc>
          <w:tcPr>
            <w:tcW w:w="1461"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rPr>
                <w:rFonts w:hint="default" w:ascii="仿宋_GB2312" w:hAnsi="仿宋_GB2312" w:eastAsia="仿宋_GB2312" w:cs="仿宋_GB2312"/>
                <w:spacing w:val="7"/>
                <w:kern w:val="0"/>
                <w:sz w:val="24"/>
                <w:szCs w:val="24"/>
                <w:lang w:val="en-US" w:eastAsia="zh-CN"/>
              </w:rPr>
            </w:pPr>
            <w:r>
              <w:rPr>
                <w:rFonts w:hint="eastAsia" w:ascii="仿宋_GB2312" w:hAnsi="仿宋_GB2312" w:eastAsia="仿宋_GB2312" w:cs="仿宋_GB2312"/>
                <w:spacing w:val="7"/>
                <w:kern w:val="0"/>
                <w:sz w:val="24"/>
                <w:szCs w:val="24"/>
                <w:lang w:val="en-US" w:eastAsia="zh-CN"/>
              </w:rPr>
              <w:t>1000</w:t>
            </w:r>
          </w:p>
        </w:tc>
        <w:tc>
          <w:tcPr>
            <w:tcW w:w="1476"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rPr>
                <w:rFonts w:hint="default" w:ascii="仿宋_GB2312" w:hAnsi="仿宋_GB2312" w:eastAsia="仿宋_GB2312" w:cs="仿宋_GB2312"/>
                <w:spacing w:val="7"/>
                <w:kern w:val="0"/>
                <w:sz w:val="24"/>
                <w:szCs w:val="24"/>
                <w:lang w:val="en-US" w:eastAsia="zh-CN"/>
              </w:rPr>
            </w:pPr>
            <w:r>
              <w:rPr>
                <w:rFonts w:hint="eastAsia" w:ascii="仿宋_GB2312" w:hAnsi="仿宋_GB2312" w:eastAsia="仿宋_GB2312" w:cs="仿宋_GB2312"/>
                <w:spacing w:val="7"/>
                <w:kern w:val="0"/>
                <w:sz w:val="24"/>
                <w:szCs w:val="24"/>
                <w:lang w:val="en-US" w:eastAsia="zh-CN"/>
              </w:rPr>
              <w:t>1600</w:t>
            </w:r>
          </w:p>
        </w:tc>
        <w:tc>
          <w:tcPr>
            <w:tcW w:w="1608"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rPr>
                <w:rFonts w:hint="default" w:ascii="仿宋_GB2312" w:hAnsi="仿宋_GB2312" w:eastAsia="仿宋_GB2312" w:cs="仿宋_GB2312"/>
                <w:spacing w:val="7"/>
                <w:kern w:val="0"/>
                <w:sz w:val="24"/>
                <w:szCs w:val="24"/>
                <w:lang w:val="en-US" w:eastAsia="zh-CN"/>
              </w:rPr>
            </w:pPr>
            <w:r>
              <w:rPr>
                <w:rFonts w:hint="eastAsia" w:ascii="仿宋_GB2312" w:hAnsi="仿宋_GB2312" w:eastAsia="仿宋_GB2312" w:cs="仿宋_GB2312"/>
                <w:spacing w:val="7"/>
                <w:kern w:val="0"/>
                <w:sz w:val="24"/>
                <w:szCs w:val="24"/>
                <w:lang w:val="en-US" w:eastAsia="zh-CN"/>
              </w:rPr>
              <w:t>1600</w:t>
            </w:r>
          </w:p>
        </w:tc>
        <w:tc>
          <w:tcPr>
            <w:tcW w:w="1007"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rPr>
                <w:rFonts w:hint="default" w:ascii="仿宋_GB2312" w:hAnsi="仿宋_GB2312" w:eastAsia="仿宋_GB2312" w:cs="仿宋_GB2312"/>
                <w:spacing w:val="7"/>
                <w:kern w:val="0"/>
                <w:sz w:val="24"/>
                <w:szCs w:val="24"/>
                <w:lang w:val="en-US" w:eastAsia="zh-CN"/>
              </w:rPr>
            </w:pPr>
            <w:r>
              <w:rPr>
                <w:rFonts w:hint="eastAsia" w:ascii="仿宋_GB2312" w:hAnsi="仿宋_GB2312" w:eastAsia="仿宋_GB2312" w:cs="仿宋_GB2312"/>
                <w:spacing w:val="7"/>
                <w:kern w:val="0"/>
                <w:sz w:val="24"/>
                <w:szCs w:val="24"/>
                <w:lang w:val="en-US" w:eastAsia="zh-CN"/>
              </w:rPr>
              <w:t>100%</w:t>
            </w:r>
          </w:p>
        </w:tc>
      </w:tr>
      <w:tr>
        <w:tblPrEx>
          <w:tblCellMar>
            <w:top w:w="0" w:type="dxa"/>
            <w:left w:w="0" w:type="dxa"/>
            <w:bottom w:w="0" w:type="dxa"/>
            <w:right w:w="0" w:type="dxa"/>
          </w:tblCellMar>
        </w:tblPrEx>
        <w:trPr>
          <w:trHeight w:val="315" w:hRule="atLeast"/>
        </w:trPr>
        <w:tc>
          <w:tcPr>
            <w:tcW w:w="950" w:type="dxa"/>
            <w:gridSpan w:val="2"/>
            <w:vMerge w:val="continue"/>
            <w:tcBorders>
              <w:top w:val="nil"/>
              <w:left w:val="single" w:color="auto" w:sz="6" w:space="0"/>
              <w:bottom w:val="single" w:color="auto" w:sz="6" w:space="0"/>
              <w:right w:val="single" w:color="auto" w:sz="6" w:space="0"/>
            </w:tcBorders>
            <w:shd w:val="clear" w:color="auto" w:fill="FFFFFF"/>
            <w:noWrap w:val="0"/>
            <w:vAlign w:val="center"/>
          </w:tcPr>
          <w:p>
            <w:pPr>
              <w:widowControl/>
              <w:jc w:val="left"/>
              <w:rPr>
                <w:rFonts w:hint="eastAsia" w:ascii="仿宋_GB2312" w:hAnsi="仿宋_GB2312" w:eastAsia="仿宋_GB2312" w:cs="仿宋_GB2312"/>
                <w:spacing w:val="7"/>
                <w:kern w:val="0"/>
                <w:sz w:val="24"/>
                <w:szCs w:val="24"/>
              </w:rPr>
            </w:pPr>
          </w:p>
        </w:tc>
        <w:tc>
          <w:tcPr>
            <w:tcW w:w="2463" w:type="dxa"/>
            <w:gridSpan w:val="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其中：当年财政拨款（省级及以上财政资金）</w:t>
            </w:r>
          </w:p>
        </w:tc>
        <w:tc>
          <w:tcPr>
            <w:tcW w:w="1461"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p>
        </w:tc>
        <w:tc>
          <w:tcPr>
            <w:tcW w:w="1476"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p>
        </w:tc>
        <w:tc>
          <w:tcPr>
            <w:tcW w:w="1608"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p>
        </w:tc>
        <w:tc>
          <w:tcPr>
            <w:tcW w:w="1007"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p>
        </w:tc>
      </w:tr>
      <w:tr>
        <w:tblPrEx>
          <w:tblCellMar>
            <w:top w:w="0" w:type="dxa"/>
            <w:left w:w="0" w:type="dxa"/>
            <w:bottom w:w="0" w:type="dxa"/>
            <w:right w:w="0" w:type="dxa"/>
          </w:tblCellMar>
        </w:tblPrEx>
        <w:trPr>
          <w:trHeight w:val="300" w:hRule="atLeast"/>
        </w:trPr>
        <w:tc>
          <w:tcPr>
            <w:tcW w:w="950" w:type="dxa"/>
            <w:gridSpan w:val="2"/>
            <w:vMerge w:val="continue"/>
            <w:tcBorders>
              <w:top w:val="nil"/>
              <w:left w:val="single" w:color="auto" w:sz="6" w:space="0"/>
              <w:bottom w:val="single" w:color="auto" w:sz="6" w:space="0"/>
              <w:right w:val="single" w:color="auto" w:sz="6" w:space="0"/>
            </w:tcBorders>
            <w:shd w:val="clear" w:color="auto" w:fill="FFFFFF"/>
            <w:noWrap w:val="0"/>
            <w:vAlign w:val="center"/>
          </w:tcPr>
          <w:p>
            <w:pPr>
              <w:widowControl/>
              <w:jc w:val="left"/>
              <w:rPr>
                <w:rFonts w:hint="eastAsia" w:ascii="仿宋_GB2312" w:hAnsi="仿宋_GB2312" w:eastAsia="仿宋_GB2312" w:cs="仿宋_GB2312"/>
                <w:spacing w:val="7"/>
                <w:kern w:val="0"/>
                <w:sz w:val="24"/>
                <w:szCs w:val="24"/>
              </w:rPr>
            </w:pPr>
          </w:p>
        </w:tc>
        <w:tc>
          <w:tcPr>
            <w:tcW w:w="2463" w:type="dxa"/>
            <w:gridSpan w:val="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 xml:space="preserve"> 当年财政拨款（市县财政资金）</w:t>
            </w:r>
          </w:p>
        </w:tc>
        <w:tc>
          <w:tcPr>
            <w:tcW w:w="1461"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lang w:val="en-US" w:eastAsia="zh-CN"/>
              </w:rPr>
              <w:t>1000</w:t>
            </w:r>
          </w:p>
        </w:tc>
        <w:tc>
          <w:tcPr>
            <w:tcW w:w="1476"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lang w:val="en-US" w:eastAsia="zh-CN"/>
              </w:rPr>
              <w:t>1600</w:t>
            </w:r>
          </w:p>
        </w:tc>
        <w:tc>
          <w:tcPr>
            <w:tcW w:w="1608"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lang w:val="en-US" w:eastAsia="zh-CN"/>
              </w:rPr>
              <w:t>1600</w:t>
            </w:r>
          </w:p>
        </w:tc>
        <w:tc>
          <w:tcPr>
            <w:tcW w:w="1007"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lang w:val="en-US" w:eastAsia="zh-CN"/>
              </w:rPr>
              <w:t>100%</w:t>
            </w:r>
          </w:p>
        </w:tc>
      </w:tr>
      <w:tr>
        <w:tblPrEx>
          <w:tblCellMar>
            <w:top w:w="0" w:type="dxa"/>
            <w:left w:w="0" w:type="dxa"/>
            <w:bottom w:w="0" w:type="dxa"/>
            <w:right w:w="0" w:type="dxa"/>
          </w:tblCellMar>
        </w:tblPrEx>
        <w:trPr>
          <w:trHeight w:val="396" w:hRule="atLeast"/>
        </w:trPr>
        <w:tc>
          <w:tcPr>
            <w:tcW w:w="950" w:type="dxa"/>
            <w:gridSpan w:val="2"/>
            <w:vMerge w:val="restart"/>
            <w:tcBorders>
              <w:top w:val="nil"/>
              <w:left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年度总体目标</w:t>
            </w:r>
          </w:p>
        </w:tc>
        <w:tc>
          <w:tcPr>
            <w:tcW w:w="3924" w:type="dxa"/>
            <w:gridSpan w:val="5"/>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预期目标</w:t>
            </w:r>
          </w:p>
        </w:tc>
        <w:tc>
          <w:tcPr>
            <w:tcW w:w="4091" w:type="dxa"/>
            <w:gridSpan w:val="6"/>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实际完成情况</w:t>
            </w:r>
          </w:p>
        </w:tc>
      </w:tr>
      <w:tr>
        <w:tblPrEx>
          <w:tblCellMar>
            <w:top w:w="0" w:type="dxa"/>
            <w:left w:w="0" w:type="dxa"/>
            <w:bottom w:w="0" w:type="dxa"/>
            <w:right w:w="0" w:type="dxa"/>
          </w:tblCellMar>
        </w:tblPrEx>
        <w:trPr>
          <w:trHeight w:val="894" w:hRule="atLeast"/>
        </w:trPr>
        <w:tc>
          <w:tcPr>
            <w:tcW w:w="950" w:type="dxa"/>
            <w:gridSpan w:val="2"/>
            <w:vMerge w:val="continue"/>
            <w:tcBorders>
              <w:top w:val="nil"/>
              <w:left w:val="single" w:color="auto" w:sz="6" w:space="0"/>
              <w:bottom w:val="single" w:color="auto" w:sz="6" w:space="0"/>
              <w:right w:val="single" w:color="auto" w:sz="6" w:space="0"/>
            </w:tcBorders>
            <w:shd w:val="clear" w:color="auto" w:fill="FFFFFF"/>
            <w:noWrap w:val="0"/>
            <w:vAlign w:val="center"/>
          </w:tcPr>
          <w:p>
            <w:pPr>
              <w:widowControl/>
              <w:jc w:val="left"/>
              <w:rPr>
                <w:rFonts w:hint="eastAsia" w:ascii="仿宋_GB2312" w:hAnsi="仿宋_GB2312" w:eastAsia="仿宋_GB2312" w:cs="仿宋_GB2312"/>
                <w:spacing w:val="7"/>
                <w:kern w:val="0"/>
                <w:sz w:val="24"/>
                <w:szCs w:val="24"/>
              </w:rPr>
            </w:pPr>
          </w:p>
        </w:tc>
        <w:tc>
          <w:tcPr>
            <w:tcW w:w="3924" w:type="dxa"/>
            <w:gridSpan w:val="5"/>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lang w:eastAsia="zh-CN"/>
              </w:rPr>
            </w:pPr>
            <w:r>
              <w:rPr>
                <w:rFonts w:hint="eastAsia" w:ascii="仿宋_GB2312" w:hAnsi="仿宋_GB2312" w:eastAsia="仿宋_GB2312" w:cs="仿宋_GB2312"/>
                <w:spacing w:val="7"/>
                <w:kern w:val="0"/>
                <w:sz w:val="24"/>
                <w:szCs w:val="24"/>
                <w:lang w:eastAsia="zh-CN"/>
              </w:rPr>
              <w:t>做好</w:t>
            </w:r>
            <w:r>
              <w:rPr>
                <w:rFonts w:hint="eastAsia" w:ascii="仿宋_GB2312" w:hAnsi="仿宋_GB2312" w:eastAsia="仿宋_GB2312" w:cs="仿宋_GB2312"/>
                <w:spacing w:val="7"/>
                <w:kern w:val="0"/>
                <w:sz w:val="24"/>
                <w:szCs w:val="24"/>
              </w:rPr>
              <w:t>镇区等清扫保洁及垃圾清运</w:t>
            </w:r>
            <w:r>
              <w:rPr>
                <w:rFonts w:hint="eastAsia" w:ascii="仿宋_GB2312" w:hAnsi="仿宋_GB2312" w:eastAsia="仿宋_GB2312" w:cs="仿宋_GB2312"/>
                <w:spacing w:val="7"/>
                <w:kern w:val="0"/>
                <w:sz w:val="24"/>
                <w:szCs w:val="24"/>
                <w:lang w:eastAsia="zh-CN"/>
              </w:rPr>
              <w:t>等工作</w:t>
            </w:r>
          </w:p>
        </w:tc>
        <w:tc>
          <w:tcPr>
            <w:tcW w:w="4091" w:type="dxa"/>
            <w:gridSpan w:val="6"/>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lang w:eastAsia="zh-CN"/>
              </w:rPr>
              <w:t>完成</w:t>
            </w:r>
            <w:r>
              <w:rPr>
                <w:rFonts w:hint="eastAsia" w:ascii="仿宋_GB2312" w:hAnsi="仿宋_GB2312" w:eastAsia="仿宋_GB2312" w:cs="仿宋_GB2312"/>
                <w:spacing w:val="7"/>
                <w:kern w:val="0"/>
                <w:sz w:val="24"/>
                <w:szCs w:val="24"/>
              </w:rPr>
              <w:t>镇区等清扫保洁及垃圾清运</w:t>
            </w:r>
          </w:p>
        </w:tc>
      </w:tr>
      <w:tr>
        <w:tblPrEx>
          <w:tblCellMar>
            <w:top w:w="0" w:type="dxa"/>
            <w:left w:w="0" w:type="dxa"/>
            <w:bottom w:w="0" w:type="dxa"/>
            <w:right w:w="0" w:type="dxa"/>
          </w:tblCellMar>
        </w:tblPrEx>
        <w:trPr>
          <w:trHeight w:val="540" w:hRule="atLeast"/>
        </w:trPr>
        <w:tc>
          <w:tcPr>
            <w:tcW w:w="458" w:type="dxa"/>
            <w:vMerge w:val="restart"/>
            <w:tcBorders>
              <w:top w:val="nil"/>
              <w:left w:val="single" w:color="auto" w:sz="6" w:space="0"/>
              <w:bottom w:val="nil"/>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绩效指标</w:t>
            </w:r>
          </w:p>
        </w:tc>
        <w:tc>
          <w:tcPr>
            <w:tcW w:w="492" w:type="dxa"/>
            <w:tcBorders>
              <w:top w:val="nil"/>
              <w:left w:val="nil"/>
              <w:bottom w:val="single" w:color="auto" w:sz="4"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一级指标</w:t>
            </w:r>
          </w:p>
        </w:tc>
        <w:tc>
          <w:tcPr>
            <w:tcW w:w="993" w:type="dxa"/>
            <w:gridSpan w:val="2"/>
            <w:tcBorders>
              <w:top w:val="nil"/>
              <w:left w:val="nil"/>
              <w:bottom w:val="single" w:color="auto" w:sz="4"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二级指标</w:t>
            </w:r>
          </w:p>
        </w:tc>
        <w:tc>
          <w:tcPr>
            <w:tcW w:w="1125" w:type="dxa"/>
            <w:tcBorders>
              <w:top w:val="single" w:color="auto" w:sz="6" w:space="0"/>
              <w:left w:val="nil"/>
              <w:bottom w:val="single" w:color="auto" w:sz="4"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三级指标</w:t>
            </w:r>
          </w:p>
        </w:tc>
        <w:tc>
          <w:tcPr>
            <w:tcW w:w="1806" w:type="dxa"/>
            <w:gridSpan w:val="2"/>
            <w:tcBorders>
              <w:top w:val="nil"/>
              <w:left w:val="nil"/>
              <w:bottom w:val="single" w:color="auto" w:sz="4"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年度</w:t>
            </w:r>
          </w:p>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指标值</w:t>
            </w:r>
          </w:p>
        </w:tc>
        <w:tc>
          <w:tcPr>
            <w:tcW w:w="1224" w:type="dxa"/>
            <w:tcBorders>
              <w:top w:val="nil"/>
              <w:left w:val="nil"/>
              <w:bottom w:val="single" w:color="auto" w:sz="4"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实际</w:t>
            </w:r>
          </w:p>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完成值</w:t>
            </w:r>
          </w:p>
        </w:tc>
        <w:tc>
          <w:tcPr>
            <w:tcW w:w="795" w:type="dxa"/>
            <w:gridSpan w:val="2"/>
            <w:tcBorders>
              <w:top w:val="nil"/>
              <w:left w:val="nil"/>
              <w:bottom w:val="single" w:color="auto" w:sz="4"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权重</w:t>
            </w:r>
          </w:p>
        </w:tc>
        <w:tc>
          <w:tcPr>
            <w:tcW w:w="765" w:type="dxa"/>
            <w:tcBorders>
              <w:top w:val="nil"/>
              <w:left w:val="nil"/>
              <w:bottom w:val="single" w:color="auto" w:sz="4"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得分</w:t>
            </w:r>
          </w:p>
        </w:tc>
        <w:tc>
          <w:tcPr>
            <w:tcW w:w="1307" w:type="dxa"/>
            <w:gridSpan w:val="2"/>
            <w:tcBorders>
              <w:top w:val="single" w:color="auto" w:sz="6" w:space="0"/>
              <w:left w:val="nil"/>
              <w:bottom w:val="single" w:color="auto" w:sz="4"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偏差原因分析及改进措施</w:t>
            </w: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24"/>
                <w:szCs w:val="24"/>
              </w:rPr>
            </w:pPr>
          </w:p>
        </w:tc>
        <w:tc>
          <w:tcPr>
            <w:tcW w:w="49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产出指标</w:t>
            </w: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成本</w:t>
            </w:r>
          </w:p>
          <w:p>
            <w:pPr>
              <w:widowControl/>
              <w:wordWrap w:val="0"/>
              <w:spacing w:line="240" w:lineRule="atLeast"/>
              <w:jc w:val="center"/>
              <w:rPr>
                <w:rFonts w:hint="eastAsia" w:ascii="仿宋_GB2312" w:hAnsi="仿宋_GB2312" w:eastAsia="仿宋_GB2312" w:cs="仿宋_GB2312"/>
                <w:spacing w:val="7"/>
                <w:kern w:val="0"/>
                <w:sz w:val="24"/>
                <w:szCs w:val="24"/>
                <w:lang w:val="en-US" w:eastAsia="zh-CN" w:bidi="ar-SA"/>
              </w:rPr>
            </w:pPr>
            <w:r>
              <w:rPr>
                <w:rFonts w:hint="eastAsia" w:ascii="仿宋_GB2312" w:hAnsi="仿宋_GB2312" w:eastAsia="仿宋_GB2312" w:cs="仿宋_GB2312"/>
                <w:spacing w:val="7"/>
                <w:kern w:val="0"/>
                <w:sz w:val="24"/>
                <w:szCs w:val="24"/>
              </w:rPr>
              <w:t>指标</w:t>
            </w:r>
          </w:p>
        </w:tc>
        <w:tc>
          <w:tcPr>
            <w:tcW w:w="112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24"/>
                <w:szCs w:val="24"/>
                <w:lang w:val="en-US" w:eastAsia="zh-CN" w:bidi="ar-SA"/>
              </w:rPr>
            </w:pPr>
            <w:r>
              <w:rPr>
                <w:rFonts w:hint="eastAsia" w:ascii="仿宋_GB2312" w:hAnsi="仿宋_GB2312" w:eastAsia="仿宋_GB2312" w:cs="仿宋_GB2312"/>
                <w:spacing w:val="7"/>
                <w:kern w:val="0"/>
                <w:sz w:val="24"/>
                <w:szCs w:val="24"/>
              </w:rPr>
              <w:t>指标</w:t>
            </w:r>
            <w:bookmarkStart w:id="1" w:name="_GoBack"/>
            <w:bookmarkEnd w:id="1"/>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24"/>
                <w:szCs w:val="24"/>
                <w:shd w:val="clear" w:fill="FFFFFF"/>
                <w:lang w:val="en-US" w:eastAsia="zh-CN" w:bidi="ar"/>
                <w14:textFill>
                  <w14:solidFill>
                    <w14:schemeClr w14:val="tx1"/>
                  </w14:solidFill>
                </w14:textFill>
              </w:rPr>
              <w:t>设计年限</w:t>
            </w:r>
          </w:p>
        </w:tc>
        <w:tc>
          <w:tcPr>
            <w:tcW w:w="1224"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24"/>
                <w:szCs w:val="24"/>
                <w:shd w:val="clear" w:fill="FFFFFF"/>
                <w:lang w:val="en-US" w:eastAsia="zh-CN" w:bidi="ar"/>
                <w14:textFill>
                  <w14:solidFill>
                    <w14:schemeClr w14:val="tx1"/>
                  </w14:solidFill>
                </w14:textFill>
              </w:rPr>
              <w:t>政府从主导到督导的转变，进一步完善环卫管理</w:t>
            </w: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lang w:val="en-US" w:eastAsia="zh-CN" w:bidi="ar-SA"/>
              </w:rPr>
            </w:pPr>
            <w:r>
              <w:rPr>
                <w:rFonts w:hint="eastAsia" w:ascii="仿宋_GB2312" w:hAnsi="仿宋_GB2312" w:eastAsia="仿宋_GB2312" w:cs="仿宋_GB2312"/>
                <w:spacing w:val="7"/>
                <w:kern w:val="0"/>
                <w:sz w:val="24"/>
                <w:szCs w:val="24"/>
                <w:lang w:val="en-US" w:eastAsia="zh-CN"/>
              </w:rPr>
              <w:t>20</w:t>
            </w: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lang w:val="en-US" w:eastAsia="zh-CN" w:bidi="ar-SA"/>
              </w:rPr>
            </w:pPr>
            <w:r>
              <w:rPr>
                <w:rFonts w:hint="eastAsia" w:ascii="仿宋_GB2312" w:hAnsi="仿宋_GB2312" w:eastAsia="仿宋_GB2312" w:cs="仿宋_GB2312"/>
                <w:spacing w:val="7"/>
                <w:kern w:val="0"/>
                <w:sz w:val="24"/>
                <w:szCs w:val="24"/>
                <w:lang w:val="en-US" w:eastAsia="zh-CN"/>
              </w:rPr>
              <w:t>18</w:t>
            </w: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24"/>
                <w:szCs w:val="24"/>
              </w:rPr>
            </w:pPr>
          </w:p>
        </w:tc>
        <w:tc>
          <w:tcPr>
            <w:tcW w:w="492" w:type="dxa"/>
            <w:vMerge w:val="restart"/>
            <w:tcBorders>
              <w:top w:val="single" w:color="auto" w:sz="4"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效益指标</w:t>
            </w: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经济效益指标</w:t>
            </w:r>
          </w:p>
        </w:tc>
        <w:tc>
          <w:tcPr>
            <w:tcW w:w="112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指标</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lang w:val="en-US" w:eastAsia="zh-CN"/>
              </w:rPr>
              <w:t>经济发展</w:t>
            </w:r>
          </w:p>
        </w:tc>
        <w:tc>
          <w:tcPr>
            <w:tcW w:w="1224"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环卫设备由中标单位全包干，减轻财政压力</w:t>
            </w: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lang w:val="en-US" w:eastAsia="zh-CN"/>
              </w:rPr>
              <w:t>20</w:t>
            </w: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lang w:val="en-US" w:eastAsia="zh-CN"/>
              </w:rPr>
              <w:t>19</w:t>
            </w: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24"/>
                <w:szCs w:val="24"/>
              </w:rPr>
            </w:pPr>
          </w:p>
        </w:tc>
        <w:tc>
          <w:tcPr>
            <w:tcW w:w="492" w:type="dxa"/>
            <w:vMerge w:val="continue"/>
            <w:tcBorders>
              <w:left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24"/>
                <w:szCs w:val="24"/>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社会效益指标</w:t>
            </w:r>
          </w:p>
        </w:tc>
        <w:tc>
          <w:tcPr>
            <w:tcW w:w="112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指标</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lang w:val="en-US" w:eastAsia="zh-CN"/>
              </w:rPr>
              <w:t>生活质量</w:t>
            </w:r>
          </w:p>
        </w:tc>
        <w:tc>
          <w:tcPr>
            <w:tcW w:w="1224"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lang w:val="en-US" w:eastAsia="zh-CN"/>
              </w:rPr>
              <w:t>提供一个整洁卫生的生活环境</w:t>
            </w: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lang w:val="en-US" w:eastAsia="zh-CN"/>
              </w:rPr>
              <w:t>20</w:t>
            </w: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lang w:val="en-US" w:eastAsia="zh-CN"/>
              </w:rPr>
              <w:t>19</w:t>
            </w: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24"/>
                <w:szCs w:val="24"/>
              </w:rPr>
            </w:pPr>
          </w:p>
        </w:tc>
        <w:tc>
          <w:tcPr>
            <w:tcW w:w="492" w:type="dxa"/>
            <w:vMerge w:val="continue"/>
            <w:tcBorders>
              <w:left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24"/>
                <w:szCs w:val="24"/>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生态效益指标</w:t>
            </w:r>
          </w:p>
        </w:tc>
        <w:tc>
          <w:tcPr>
            <w:tcW w:w="112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指标</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lang w:val="en-US" w:eastAsia="zh-CN"/>
              </w:rPr>
              <w:t>生态环境</w:t>
            </w:r>
          </w:p>
        </w:tc>
        <w:tc>
          <w:tcPr>
            <w:tcW w:w="1224"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lang w:val="en-US" w:eastAsia="zh-CN"/>
              </w:rPr>
              <w:t>减少垃圾污染、保护环境</w:t>
            </w: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lang w:val="en-US" w:eastAsia="zh-CN"/>
              </w:rPr>
              <w:t>20</w:t>
            </w: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lang w:val="en-US" w:eastAsia="zh-CN"/>
              </w:rPr>
              <w:t>19</w:t>
            </w: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24"/>
                <w:szCs w:val="24"/>
              </w:rPr>
            </w:pPr>
          </w:p>
        </w:tc>
        <w:tc>
          <w:tcPr>
            <w:tcW w:w="49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满意度</w:t>
            </w:r>
          </w:p>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指标</w:t>
            </w: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服务对象满意度指标</w:t>
            </w:r>
          </w:p>
        </w:tc>
        <w:tc>
          <w:tcPr>
            <w:tcW w:w="112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指标</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lang w:val="en-US" w:eastAsia="zh-CN"/>
              </w:rPr>
              <w:t>满意度</w:t>
            </w:r>
          </w:p>
        </w:tc>
        <w:tc>
          <w:tcPr>
            <w:tcW w:w="1224"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lang w:val="en-US" w:eastAsia="zh-CN"/>
              </w:rPr>
              <w:t>满意</w:t>
            </w: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lang w:val="en-US" w:eastAsia="zh-CN"/>
              </w:rPr>
              <w:t>20</w:t>
            </w: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lang w:val="en-US" w:eastAsia="zh-CN"/>
              </w:rPr>
              <w:t>20</w:t>
            </w: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p>
        </w:tc>
      </w:tr>
      <w:tr>
        <w:tblPrEx>
          <w:tblCellMar>
            <w:top w:w="0" w:type="dxa"/>
            <w:left w:w="0" w:type="dxa"/>
            <w:bottom w:w="0" w:type="dxa"/>
            <w:right w:w="0" w:type="dxa"/>
          </w:tblCellMar>
        </w:tblPrEx>
        <w:trPr>
          <w:trHeight w:val="300" w:hRule="atLeast"/>
        </w:trPr>
        <w:tc>
          <w:tcPr>
            <w:tcW w:w="6098" w:type="dxa"/>
            <w:gridSpan w:val="8"/>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总分</w:t>
            </w: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100</w:t>
            </w: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default" w:ascii="仿宋_GB2312" w:hAnsi="仿宋_GB2312" w:eastAsia="仿宋_GB2312" w:cs="仿宋_GB2312"/>
                <w:spacing w:val="7"/>
                <w:kern w:val="0"/>
                <w:sz w:val="24"/>
                <w:szCs w:val="24"/>
                <w:lang w:val="en-US" w:eastAsia="zh-CN"/>
              </w:rPr>
            </w:pPr>
            <w:r>
              <w:rPr>
                <w:rFonts w:hint="eastAsia" w:ascii="仿宋_GB2312" w:hAnsi="仿宋_GB2312" w:eastAsia="仿宋_GB2312" w:cs="仿宋_GB2312"/>
                <w:spacing w:val="7"/>
                <w:kern w:val="0"/>
                <w:sz w:val="24"/>
                <w:szCs w:val="24"/>
                <w:lang w:val="en-US" w:eastAsia="zh-CN"/>
              </w:rPr>
              <w:t>95</w:t>
            </w: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p>
        </w:tc>
      </w:tr>
      <w:tr>
        <w:tblPrEx>
          <w:tblCellMar>
            <w:top w:w="0" w:type="dxa"/>
            <w:left w:w="0" w:type="dxa"/>
            <w:bottom w:w="0" w:type="dxa"/>
            <w:right w:w="0" w:type="dxa"/>
          </w:tblCellMar>
        </w:tblPrEx>
        <w:trPr>
          <w:trHeight w:val="300" w:hRule="atLeast"/>
        </w:trPr>
        <w:tc>
          <w:tcPr>
            <w:tcW w:w="1835" w:type="dxa"/>
            <w:gridSpan w:val="3"/>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自评结论</w:t>
            </w:r>
          </w:p>
        </w:tc>
        <w:tc>
          <w:tcPr>
            <w:tcW w:w="4263" w:type="dxa"/>
            <w:gridSpan w:val="5"/>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color w:val="000000"/>
                <w:kern w:val="0"/>
                <w:sz w:val="24"/>
                <w:szCs w:val="24"/>
                <w:lang w:bidi="ar"/>
              </w:rPr>
              <w:t>优</w:t>
            </w:r>
            <w:r>
              <w:rPr>
                <w:rFonts w:hint="eastAsia" w:ascii="仿宋_GB2312" w:hAnsi="仿宋_GB2312" w:eastAsia="仿宋_GB2312" w:cs="仿宋_GB2312"/>
                <w:color w:val="000000"/>
                <w:kern w:val="0"/>
                <w:sz w:val="24"/>
                <w:szCs w:val="24"/>
                <w:lang w:eastAsia="zh-CN" w:bidi="ar"/>
              </w:rPr>
              <w:t>☑</w:t>
            </w:r>
            <w:r>
              <w:rPr>
                <w:rFonts w:hint="eastAsia" w:ascii="仿宋_GB2312" w:hAnsi="仿宋_GB2312" w:eastAsia="仿宋_GB2312" w:cs="仿宋_GB2312"/>
                <w:color w:val="000000"/>
                <w:kern w:val="0"/>
                <w:sz w:val="24"/>
                <w:szCs w:val="24"/>
                <w:lang w:bidi="ar"/>
              </w:rPr>
              <w:t xml:space="preserve">     良□      中□    差□</w:t>
            </w:r>
          </w:p>
        </w:tc>
        <w:tc>
          <w:tcPr>
            <w:tcW w:w="2867" w:type="dxa"/>
            <w:gridSpan w:val="5"/>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color w:val="000000"/>
                <w:kern w:val="0"/>
                <w:sz w:val="24"/>
                <w:szCs w:val="24"/>
                <w:lang w:bidi="ar"/>
              </w:rPr>
              <w:t>总分高于90分（含）的结论为“优”，90～80分（含）为“良”，80～60分（含）为“中”，低于60分为“差”。</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t>公共卫生及计生经费项目绩效自评综述：根据年初设定的绩效目标，项目自评得分97分，自评结论为“优秀”。项目全年预算数为70万元，执行数为70万元，完成预算的100%。项目绩效目标完成情况：：一是卫生计生及村居工作相关人员培训工作；二是提升公共卫生配套建设。发现的问题：卫生宣传工作不够彻底全面。下一步改进措施：加强培训考核力度，做好公共卫生工作。</w:t>
      </w:r>
    </w:p>
    <w:tbl>
      <w:tblPr>
        <w:tblStyle w:val="3"/>
        <w:tblW w:w="8965" w:type="dxa"/>
        <w:tblInd w:w="-76" w:type="dxa"/>
        <w:tblLayout w:type="fixed"/>
        <w:tblCellMar>
          <w:top w:w="0" w:type="dxa"/>
          <w:left w:w="0" w:type="dxa"/>
          <w:bottom w:w="0" w:type="dxa"/>
          <w:right w:w="0" w:type="dxa"/>
        </w:tblCellMar>
      </w:tblPr>
      <w:tblGrid>
        <w:gridCol w:w="458"/>
        <w:gridCol w:w="492"/>
        <w:gridCol w:w="885"/>
        <w:gridCol w:w="108"/>
        <w:gridCol w:w="1125"/>
        <w:gridCol w:w="345"/>
        <w:gridCol w:w="1461"/>
        <w:gridCol w:w="1224"/>
        <w:gridCol w:w="252"/>
        <w:gridCol w:w="543"/>
        <w:gridCol w:w="765"/>
        <w:gridCol w:w="300"/>
        <w:gridCol w:w="1007"/>
      </w:tblGrid>
      <w:tr>
        <w:tblPrEx>
          <w:tblCellMar>
            <w:top w:w="0" w:type="dxa"/>
            <w:left w:w="0" w:type="dxa"/>
            <w:bottom w:w="0" w:type="dxa"/>
            <w:right w:w="0" w:type="dxa"/>
          </w:tblCellMar>
        </w:tblPrEx>
        <w:trPr>
          <w:trHeight w:val="450" w:hRule="atLeast"/>
        </w:trPr>
        <w:tc>
          <w:tcPr>
            <w:tcW w:w="8965" w:type="dxa"/>
            <w:gridSpan w:val="13"/>
            <w:tcBorders>
              <w:top w:val="nil"/>
              <w:left w:val="nil"/>
              <w:bottom w:val="nil"/>
              <w:right w:val="nil"/>
            </w:tcBorders>
            <w:shd w:val="clear" w:color="auto" w:fill="FFFFFF"/>
            <w:noWrap w:val="0"/>
            <w:tcMar>
              <w:top w:w="0" w:type="dxa"/>
              <w:left w:w="105" w:type="dxa"/>
              <w:bottom w:w="0" w:type="dxa"/>
              <w:right w:w="105" w:type="dxa"/>
            </w:tcMar>
            <w:vAlign w:val="center"/>
          </w:tcPr>
          <w:p>
            <w:pPr>
              <w:widowControl/>
              <w:wordWrap w:val="0"/>
              <w:spacing w:line="315" w:lineRule="atLeast"/>
              <w:jc w:val="center"/>
              <w:rPr>
                <w:rFonts w:ascii="微软雅黑" w:hAnsi="微软雅黑" w:eastAsia="微软雅黑" w:cs="宋体"/>
                <w:spacing w:val="7"/>
                <w:kern w:val="0"/>
                <w:sz w:val="28"/>
                <w:szCs w:val="28"/>
              </w:rPr>
            </w:pPr>
            <w:r>
              <w:rPr>
                <w:rFonts w:hint="eastAsia" w:ascii="方正小标宋简体" w:hAnsi="方正小标宋简体" w:eastAsia="方正小标宋简体" w:cs="方正小标宋简体"/>
                <w:spacing w:val="7"/>
                <w:kern w:val="0"/>
                <w:sz w:val="44"/>
                <w:szCs w:val="44"/>
              </w:rPr>
              <w:t>义乌市财政项目支出绩效自评表</w:t>
            </w:r>
          </w:p>
        </w:tc>
      </w:tr>
      <w:tr>
        <w:tblPrEx>
          <w:tblCellMar>
            <w:top w:w="0" w:type="dxa"/>
            <w:left w:w="0" w:type="dxa"/>
            <w:bottom w:w="0" w:type="dxa"/>
            <w:right w:w="0" w:type="dxa"/>
          </w:tblCellMar>
        </w:tblPrEx>
        <w:trPr>
          <w:trHeight w:val="195" w:hRule="atLeast"/>
        </w:trPr>
        <w:tc>
          <w:tcPr>
            <w:tcW w:w="8965" w:type="dxa"/>
            <w:gridSpan w:val="13"/>
            <w:tcBorders>
              <w:top w:val="nil"/>
              <w:left w:val="nil"/>
              <w:bottom w:val="nil"/>
              <w:right w:val="nil"/>
            </w:tcBorders>
            <w:shd w:val="clear" w:color="auto" w:fill="FFFFFF"/>
            <w:noWrap w:val="0"/>
            <w:tcMar>
              <w:top w:w="0" w:type="dxa"/>
              <w:left w:w="105" w:type="dxa"/>
              <w:bottom w:w="0" w:type="dxa"/>
              <w:right w:w="105" w:type="dxa"/>
            </w:tcMar>
            <w:vAlign w:val="top"/>
          </w:tcPr>
          <w:p>
            <w:pPr>
              <w:widowControl/>
              <w:wordWrap w:val="0"/>
              <w:spacing w:line="195" w:lineRule="atLeast"/>
              <w:jc w:val="center"/>
              <w:rPr>
                <w:rFonts w:hint="eastAsia" w:ascii="宋体" w:hAnsi="宋体" w:cs="宋体"/>
                <w:spacing w:val="7"/>
                <w:kern w:val="0"/>
                <w:sz w:val="18"/>
                <w:szCs w:val="18"/>
              </w:rPr>
            </w:pPr>
            <w:r>
              <w:rPr>
                <w:rFonts w:hint="eastAsia" w:ascii="宋体" w:hAnsi="宋体" w:cs="宋体"/>
                <w:spacing w:val="7"/>
                <w:kern w:val="0"/>
                <w:sz w:val="18"/>
                <w:szCs w:val="18"/>
              </w:rPr>
              <w:t>（</w:t>
            </w:r>
            <w:r>
              <w:rPr>
                <w:rFonts w:ascii="宋体" w:hAnsi="宋体" w:cs="宋体"/>
                <w:spacing w:val="7"/>
                <w:kern w:val="0"/>
                <w:sz w:val="18"/>
                <w:szCs w:val="18"/>
              </w:rPr>
              <w:t xml:space="preserve">  </w:t>
            </w:r>
            <w:r>
              <w:rPr>
                <w:rFonts w:hint="eastAsia" w:ascii="宋体" w:hAnsi="宋体" w:cs="宋体"/>
                <w:spacing w:val="7"/>
                <w:kern w:val="0"/>
                <w:sz w:val="18"/>
                <w:szCs w:val="18"/>
                <w:lang w:val="en-US" w:eastAsia="zh-CN"/>
              </w:rPr>
              <w:t>2021</w:t>
            </w:r>
            <w:r>
              <w:rPr>
                <w:rFonts w:ascii="宋体" w:hAnsi="宋体" w:cs="宋体"/>
                <w:spacing w:val="7"/>
                <w:kern w:val="0"/>
                <w:sz w:val="18"/>
                <w:szCs w:val="18"/>
              </w:rPr>
              <w:t>  </w:t>
            </w:r>
            <w:r>
              <w:rPr>
                <w:rFonts w:hint="eastAsia" w:ascii="宋体" w:hAnsi="宋体" w:cs="宋体"/>
                <w:spacing w:val="7"/>
                <w:kern w:val="0"/>
                <w:sz w:val="18"/>
                <w:szCs w:val="18"/>
              </w:rPr>
              <w:t>年度）</w:t>
            </w:r>
          </w:p>
          <w:p>
            <w:pPr>
              <w:widowControl/>
              <w:wordWrap w:val="0"/>
              <w:spacing w:line="195" w:lineRule="atLeast"/>
              <w:rPr>
                <w:rFonts w:hint="eastAsia" w:ascii="宋体" w:hAnsi="宋体" w:eastAsia="宋体" w:cs="宋体"/>
                <w:spacing w:val="7"/>
                <w:kern w:val="0"/>
                <w:sz w:val="18"/>
                <w:szCs w:val="18"/>
                <w:lang w:eastAsia="zh-CN"/>
              </w:rPr>
            </w:pPr>
            <w:r>
              <w:rPr>
                <w:rFonts w:hint="eastAsia" w:ascii="宋体" w:hAnsi="宋体" w:cs="宋体"/>
                <w:spacing w:val="7"/>
                <w:kern w:val="0"/>
                <w:sz w:val="18"/>
                <w:szCs w:val="18"/>
              </w:rPr>
              <w:t xml:space="preserve"> 单位名称（盖章）：</w:t>
            </w:r>
            <w:r>
              <w:rPr>
                <w:rFonts w:hint="eastAsia" w:ascii="宋体" w:hAnsi="宋体" w:cs="宋体"/>
                <w:spacing w:val="7"/>
                <w:kern w:val="0"/>
                <w:sz w:val="18"/>
                <w:szCs w:val="18"/>
                <w:lang w:eastAsia="zh-CN"/>
              </w:rPr>
              <w:t>义亭镇人民政府</w:t>
            </w:r>
          </w:p>
        </w:tc>
      </w:tr>
      <w:tr>
        <w:tblPrEx>
          <w:tblCellMar>
            <w:top w:w="0" w:type="dxa"/>
            <w:left w:w="0" w:type="dxa"/>
            <w:bottom w:w="0" w:type="dxa"/>
            <w:right w:w="0" w:type="dxa"/>
          </w:tblCellMar>
        </w:tblPrEx>
        <w:trPr>
          <w:trHeight w:val="300" w:hRule="atLeast"/>
        </w:trPr>
        <w:tc>
          <w:tcPr>
            <w:tcW w:w="950" w:type="dxa"/>
            <w:gridSpan w:val="2"/>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项目名称</w:t>
            </w:r>
          </w:p>
        </w:tc>
        <w:tc>
          <w:tcPr>
            <w:tcW w:w="8015" w:type="dxa"/>
            <w:gridSpan w:val="11"/>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公共卫生及计生经费</w:t>
            </w:r>
          </w:p>
        </w:tc>
      </w:tr>
      <w:tr>
        <w:tblPrEx>
          <w:tblCellMar>
            <w:top w:w="0" w:type="dxa"/>
            <w:left w:w="0" w:type="dxa"/>
            <w:bottom w:w="0" w:type="dxa"/>
            <w:right w:w="0" w:type="dxa"/>
          </w:tblCellMar>
        </w:tblPrEx>
        <w:trPr>
          <w:trHeight w:val="300" w:hRule="atLeast"/>
        </w:trPr>
        <w:tc>
          <w:tcPr>
            <w:tcW w:w="950" w:type="dxa"/>
            <w:gridSpan w:val="2"/>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主管部门</w:t>
            </w:r>
          </w:p>
        </w:tc>
        <w:tc>
          <w:tcPr>
            <w:tcW w:w="3924" w:type="dxa"/>
            <w:gridSpan w:val="5"/>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315" w:lineRule="atLeast"/>
              <w:jc w:val="center"/>
              <w:rPr>
                <w:rFonts w:hint="eastAsia" w:ascii="仿宋_GB2312" w:hAnsi="仿宋_GB2312" w:eastAsia="仿宋_GB2312" w:cs="仿宋_GB2312"/>
                <w:spacing w:val="7"/>
                <w:kern w:val="0"/>
                <w:sz w:val="24"/>
                <w:szCs w:val="24"/>
                <w:lang w:eastAsia="zh-CN"/>
              </w:rPr>
            </w:pPr>
            <w:r>
              <w:rPr>
                <w:rFonts w:hint="eastAsia" w:ascii="仿宋_GB2312" w:hAnsi="仿宋_GB2312" w:eastAsia="仿宋_GB2312" w:cs="仿宋_GB2312"/>
                <w:spacing w:val="7"/>
                <w:kern w:val="0"/>
                <w:sz w:val="24"/>
                <w:szCs w:val="24"/>
                <w:lang w:eastAsia="zh-CN"/>
              </w:rPr>
              <w:t>义亭镇人民政府</w:t>
            </w:r>
          </w:p>
        </w:tc>
        <w:tc>
          <w:tcPr>
            <w:tcW w:w="1476"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项目单位</w:t>
            </w:r>
          </w:p>
        </w:tc>
        <w:tc>
          <w:tcPr>
            <w:tcW w:w="2615" w:type="dxa"/>
            <w:gridSpan w:val="4"/>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lang w:eastAsia="zh-CN"/>
              </w:rPr>
            </w:pPr>
            <w:r>
              <w:rPr>
                <w:rFonts w:hint="eastAsia" w:ascii="仿宋_GB2312" w:hAnsi="仿宋_GB2312" w:eastAsia="仿宋_GB2312" w:cs="仿宋_GB2312"/>
                <w:spacing w:val="7"/>
                <w:kern w:val="0"/>
                <w:sz w:val="24"/>
                <w:szCs w:val="24"/>
                <w:lang w:eastAsia="zh-CN"/>
              </w:rPr>
              <w:t>义亭镇本级</w:t>
            </w:r>
          </w:p>
        </w:tc>
      </w:tr>
      <w:tr>
        <w:tblPrEx>
          <w:tblCellMar>
            <w:top w:w="0" w:type="dxa"/>
            <w:left w:w="0" w:type="dxa"/>
            <w:bottom w:w="0" w:type="dxa"/>
            <w:right w:w="0" w:type="dxa"/>
          </w:tblCellMar>
        </w:tblPrEx>
        <w:trPr>
          <w:trHeight w:val="495" w:hRule="atLeast"/>
        </w:trPr>
        <w:tc>
          <w:tcPr>
            <w:tcW w:w="950" w:type="dxa"/>
            <w:gridSpan w:val="2"/>
            <w:vMerge w:val="restart"/>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项目资金（万元）</w:t>
            </w:r>
          </w:p>
        </w:tc>
        <w:tc>
          <w:tcPr>
            <w:tcW w:w="2463" w:type="dxa"/>
            <w:gridSpan w:val="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p>
        </w:tc>
        <w:tc>
          <w:tcPr>
            <w:tcW w:w="1461"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年初预算数</w:t>
            </w:r>
          </w:p>
        </w:tc>
        <w:tc>
          <w:tcPr>
            <w:tcW w:w="1476"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全年预算数</w:t>
            </w:r>
          </w:p>
        </w:tc>
        <w:tc>
          <w:tcPr>
            <w:tcW w:w="1608" w:type="dxa"/>
            <w:gridSpan w:val="3"/>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全年执行数</w:t>
            </w:r>
          </w:p>
        </w:tc>
        <w:tc>
          <w:tcPr>
            <w:tcW w:w="1007"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执行率</w:t>
            </w:r>
          </w:p>
        </w:tc>
      </w:tr>
      <w:tr>
        <w:tblPrEx>
          <w:tblCellMar>
            <w:top w:w="0" w:type="dxa"/>
            <w:left w:w="0" w:type="dxa"/>
            <w:bottom w:w="0" w:type="dxa"/>
            <w:right w:w="0" w:type="dxa"/>
          </w:tblCellMar>
        </w:tblPrEx>
        <w:trPr>
          <w:trHeight w:val="300" w:hRule="atLeast"/>
        </w:trPr>
        <w:tc>
          <w:tcPr>
            <w:tcW w:w="950" w:type="dxa"/>
            <w:gridSpan w:val="2"/>
            <w:vMerge w:val="continue"/>
            <w:tcBorders>
              <w:top w:val="nil"/>
              <w:left w:val="single" w:color="auto" w:sz="6" w:space="0"/>
              <w:bottom w:val="single" w:color="auto" w:sz="6" w:space="0"/>
              <w:right w:val="single" w:color="auto" w:sz="6" w:space="0"/>
            </w:tcBorders>
            <w:shd w:val="clear" w:color="auto" w:fill="FFFFFF"/>
            <w:noWrap w:val="0"/>
            <w:vAlign w:val="center"/>
          </w:tcPr>
          <w:p>
            <w:pPr>
              <w:widowControl/>
              <w:jc w:val="left"/>
              <w:rPr>
                <w:rFonts w:hint="eastAsia" w:ascii="仿宋_GB2312" w:hAnsi="仿宋_GB2312" w:eastAsia="仿宋_GB2312" w:cs="仿宋_GB2312"/>
                <w:spacing w:val="7"/>
                <w:kern w:val="0"/>
                <w:sz w:val="24"/>
                <w:szCs w:val="24"/>
              </w:rPr>
            </w:pPr>
          </w:p>
        </w:tc>
        <w:tc>
          <w:tcPr>
            <w:tcW w:w="2463" w:type="dxa"/>
            <w:gridSpan w:val="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年度资金总额</w:t>
            </w:r>
          </w:p>
        </w:tc>
        <w:tc>
          <w:tcPr>
            <w:tcW w:w="1461"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70</w:t>
            </w:r>
          </w:p>
        </w:tc>
        <w:tc>
          <w:tcPr>
            <w:tcW w:w="1476"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70</w:t>
            </w:r>
          </w:p>
        </w:tc>
        <w:tc>
          <w:tcPr>
            <w:tcW w:w="1608"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70</w:t>
            </w:r>
          </w:p>
        </w:tc>
        <w:tc>
          <w:tcPr>
            <w:tcW w:w="1007"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rPr>
                <w:rFonts w:hint="default" w:ascii="仿宋_GB2312" w:hAnsi="仿宋_GB2312" w:eastAsia="仿宋_GB2312" w:cs="仿宋_GB2312"/>
                <w:spacing w:val="7"/>
                <w:kern w:val="0"/>
                <w:sz w:val="24"/>
                <w:szCs w:val="24"/>
                <w:lang w:val="en-US" w:eastAsia="zh-CN"/>
              </w:rPr>
            </w:pPr>
            <w:r>
              <w:rPr>
                <w:rFonts w:hint="eastAsia" w:ascii="仿宋_GB2312" w:hAnsi="仿宋_GB2312" w:eastAsia="仿宋_GB2312" w:cs="仿宋_GB2312"/>
                <w:spacing w:val="7"/>
                <w:kern w:val="0"/>
                <w:sz w:val="24"/>
                <w:szCs w:val="24"/>
                <w:lang w:val="en-US" w:eastAsia="zh-CN"/>
              </w:rPr>
              <w:t>100%</w:t>
            </w:r>
          </w:p>
        </w:tc>
      </w:tr>
      <w:tr>
        <w:tblPrEx>
          <w:tblCellMar>
            <w:top w:w="0" w:type="dxa"/>
            <w:left w:w="0" w:type="dxa"/>
            <w:bottom w:w="0" w:type="dxa"/>
            <w:right w:w="0" w:type="dxa"/>
          </w:tblCellMar>
        </w:tblPrEx>
        <w:trPr>
          <w:trHeight w:val="315" w:hRule="atLeast"/>
        </w:trPr>
        <w:tc>
          <w:tcPr>
            <w:tcW w:w="950" w:type="dxa"/>
            <w:gridSpan w:val="2"/>
            <w:vMerge w:val="continue"/>
            <w:tcBorders>
              <w:top w:val="nil"/>
              <w:left w:val="single" w:color="auto" w:sz="6" w:space="0"/>
              <w:bottom w:val="single" w:color="auto" w:sz="6" w:space="0"/>
              <w:right w:val="single" w:color="auto" w:sz="6" w:space="0"/>
            </w:tcBorders>
            <w:shd w:val="clear" w:color="auto" w:fill="FFFFFF"/>
            <w:noWrap w:val="0"/>
            <w:vAlign w:val="center"/>
          </w:tcPr>
          <w:p>
            <w:pPr>
              <w:widowControl/>
              <w:jc w:val="left"/>
              <w:rPr>
                <w:rFonts w:hint="eastAsia" w:ascii="仿宋_GB2312" w:hAnsi="仿宋_GB2312" w:eastAsia="仿宋_GB2312" w:cs="仿宋_GB2312"/>
                <w:spacing w:val="7"/>
                <w:kern w:val="0"/>
                <w:sz w:val="24"/>
                <w:szCs w:val="24"/>
              </w:rPr>
            </w:pPr>
          </w:p>
        </w:tc>
        <w:tc>
          <w:tcPr>
            <w:tcW w:w="2463" w:type="dxa"/>
            <w:gridSpan w:val="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其中：当年财政拨款（省级及以上财政资金）</w:t>
            </w:r>
          </w:p>
        </w:tc>
        <w:tc>
          <w:tcPr>
            <w:tcW w:w="1461"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p>
        </w:tc>
        <w:tc>
          <w:tcPr>
            <w:tcW w:w="1476"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p>
        </w:tc>
        <w:tc>
          <w:tcPr>
            <w:tcW w:w="1608"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p>
        </w:tc>
        <w:tc>
          <w:tcPr>
            <w:tcW w:w="1007"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p>
        </w:tc>
      </w:tr>
      <w:tr>
        <w:tblPrEx>
          <w:tblCellMar>
            <w:top w:w="0" w:type="dxa"/>
            <w:left w:w="0" w:type="dxa"/>
            <w:bottom w:w="0" w:type="dxa"/>
            <w:right w:w="0" w:type="dxa"/>
          </w:tblCellMar>
        </w:tblPrEx>
        <w:trPr>
          <w:trHeight w:val="300" w:hRule="atLeast"/>
        </w:trPr>
        <w:tc>
          <w:tcPr>
            <w:tcW w:w="950" w:type="dxa"/>
            <w:gridSpan w:val="2"/>
            <w:vMerge w:val="continue"/>
            <w:tcBorders>
              <w:top w:val="nil"/>
              <w:left w:val="single" w:color="auto" w:sz="6" w:space="0"/>
              <w:bottom w:val="single" w:color="auto" w:sz="6" w:space="0"/>
              <w:right w:val="single" w:color="auto" w:sz="6" w:space="0"/>
            </w:tcBorders>
            <w:shd w:val="clear" w:color="auto" w:fill="FFFFFF"/>
            <w:noWrap w:val="0"/>
            <w:vAlign w:val="center"/>
          </w:tcPr>
          <w:p>
            <w:pPr>
              <w:widowControl/>
              <w:jc w:val="left"/>
              <w:rPr>
                <w:rFonts w:hint="eastAsia" w:ascii="仿宋_GB2312" w:hAnsi="仿宋_GB2312" w:eastAsia="仿宋_GB2312" w:cs="仿宋_GB2312"/>
                <w:spacing w:val="7"/>
                <w:kern w:val="0"/>
                <w:sz w:val="24"/>
                <w:szCs w:val="24"/>
              </w:rPr>
            </w:pPr>
          </w:p>
        </w:tc>
        <w:tc>
          <w:tcPr>
            <w:tcW w:w="2463" w:type="dxa"/>
            <w:gridSpan w:val="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 xml:space="preserve">   当年财政拨款（市县财政资金）</w:t>
            </w:r>
          </w:p>
        </w:tc>
        <w:tc>
          <w:tcPr>
            <w:tcW w:w="1461"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rPr>
                <w:rFonts w:hint="default" w:ascii="仿宋_GB2312" w:hAnsi="仿宋_GB2312" w:eastAsia="仿宋_GB2312" w:cs="仿宋_GB2312"/>
                <w:spacing w:val="7"/>
                <w:kern w:val="0"/>
                <w:sz w:val="24"/>
                <w:szCs w:val="24"/>
                <w:lang w:val="en-US" w:eastAsia="zh-CN"/>
              </w:rPr>
            </w:pPr>
            <w:r>
              <w:rPr>
                <w:rFonts w:hint="eastAsia" w:ascii="仿宋_GB2312" w:hAnsi="仿宋_GB2312" w:eastAsia="仿宋_GB2312" w:cs="仿宋_GB2312"/>
                <w:spacing w:val="7"/>
                <w:kern w:val="0"/>
                <w:sz w:val="24"/>
                <w:szCs w:val="24"/>
                <w:lang w:val="en-US" w:eastAsia="zh-CN"/>
              </w:rPr>
              <w:t>70</w:t>
            </w:r>
          </w:p>
        </w:tc>
        <w:tc>
          <w:tcPr>
            <w:tcW w:w="1476"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rPr>
                <w:rFonts w:hint="default" w:ascii="仿宋_GB2312" w:hAnsi="仿宋_GB2312" w:eastAsia="仿宋_GB2312" w:cs="仿宋_GB2312"/>
                <w:spacing w:val="7"/>
                <w:kern w:val="0"/>
                <w:sz w:val="24"/>
                <w:szCs w:val="24"/>
                <w:lang w:val="en-US" w:eastAsia="zh-CN"/>
              </w:rPr>
            </w:pPr>
            <w:r>
              <w:rPr>
                <w:rFonts w:hint="eastAsia" w:ascii="仿宋_GB2312" w:hAnsi="仿宋_GB2312" w:eastAsia="仿宋_GB2312" w:cs="仿宋_GB2312"/>
                <w:spacing w:val="7"/>
                <w:kern w:val="0"/>
                <w:sz w:val="24"/>
                <w:szCs w:val="24"/>
                <w:lang w:val="en-US" w:eastAsia="zh-CN"/>
              </w:rPr>
              <w:t>70</w:t>
            </w:r>
          </w:p>
        </w:tc>
        <w:tc>
          <w:tcPr>
            <w:tcW w:w="1608"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rPr>
                <w:rFonts w:hint="default" w:ascii="仿宋_GB2312" w:hAnsi="仿宋_GB2312" w:eastAsia="仿宋_GB2312" w:cs="仿宋_GB2312"/>
                <w:spacing w:val="7"/>
                <w:kern w:val="0"/>
                <w:sz w:val="24"/>
                <w:szCs w:val="24"/>
                <w:lang w:val="en-US" w:eastAsia="zh-CN"/>
              </w:rPr>
            </w:pPr>
            <w:r>
              <w:rPr>
                <w:rFonts w:hint="eastAsia" w:ascii="仿宋_GB2312" w:hAnsi="仿宋_GB2312" w:eastAsia="仿宋_GB2312" w:cs="仿宋_GB2312"/>
                <w:spacing w:val="7"/>
                <w:kern w:val="0"/>
                <w:sz w:val="24"/>
                <w:szCs w:val="24"/>
                <w:lang w:val="en-US" w:eastAsia="zh-CN"/>
              </w:rPr>
              <w:t>70</w:t>
            </w:r>
          </w:p>
        </w:tc>
        <w:tc>
          <w:tcPr>
            <w:tcW w:w="1007"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default" w:ascii="仿宋_GB2312" w:hAnsi="仿宋_GB2312" w:eastAsia="仿宋_GB2312" w:cs="仿宋_GB2312"/>
                <w:spacing w:val="7"/>
                <w:kern w:val="0"/>
                <w:sz w:val="24"/>
                <w:szCs w:val="24"/>
                <w:lang w:val="en-US" w:eastAsia="zh-CN"/>
              </w:rPr>
            </w:pPr>
            <w:r>
              <w:rPr>
                <w:rFonts w:hint="eastAsia" w:ascii="仿宋_GB2312" w:hAnsi="仿宋_GB2312" w:eastAsia="仿宋_GB2312" w:cs="仿宋_GB2312"/>
                <w:spacing w:val="7"/>
                <w:kern w:val="0"/>
                <w:sz w:val="24"/>
                <w:szCs w:val="24"/>
                <w:lang w:val="en-US" w:eastAsia="zh-CN"/>
              </w:rPr>
              <w:t>100%</w:t>
            </w:r>
          </w:p>
        </w:tc>
      </w:tr>
      <w:tr>
        <w:tblPrEx>
          <w:tblCellMar>
            <w:top w:w="0" w:type="dxa"/>
            <w:left w:w="0" w:type="dxa"/>
            <w:bottom w:w="0" w:type="dxa"/>
            <w:right w:w="0" w:type="dxa"/>
          </w:tblCellMar>
        </w:tblPrEx>
        <w:trPr>
          <w:trHeight w:val="396" w:hRule="atLeast"/>
        </w:trPr>
        <w:tc>
          <w:tcPr>
            <w:tcW w:w="950" w:type="dxa"/>
            <w:gridSpan w:val="2"/>
            <w:vMerge w:val="restart"/>
            <w:tcBorders>
              <w:top w:val="nil"/>
              <w:left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年度总体目标</w:t>
            </w:r>
          </w:p>
        </w:tc>
        <w:tc>
          <w:tcPr>
            <w:tcW w:w="3924" w:type="dxa"/>
            <w:gridSpan w:val="5"/>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预期目标</w:t>
            </w:r>
          </w:p>
        </w:tc>
        <w:tc>
          <w:tcPr>
            <w:tcW w:w="4091" w:type="dxa"/>
            <w:gridSpan w:val="6"/>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实际完成情况</w:t>
            </w:r>
          </w:p>
        </w:tc>
      </w:tr>
      <w:tr>
        <w:tblPrEx>
          <w:tblCellMar>
            <w:top w:w="0" w:type="dxa"/>
            <w:left w:w="0" w:type="dxa"/>
            <w:bottom w:w="0" w:type="dxa"/>
            <w:right w:w="0" w:type="dxa"/>
          </w:tblCellMar>
        </w:tblPrEx>
        <w:trPr>
          <w:trHeight w:val="894" w:hRule="atLeast"/>
        </w:trPr>
        <w:tc>
          <w:tcPr>
            <w:tcW w:w="950" w:type="dxa"/>
            <w:gridSpan w:val="2"/>
            <w:vMerge w:val="continue"/>
            <w:tcBorders>
              <w:top w:val="nil"/>
              <w:left w:val="single" w:color="auto" w:sz="6" w:space="0"/>
              <w:bottom w:val="single" w:color="auto" w:sz="6" w:space="0"/>
              <w:right w:val="single" w:color="auto" w:sz="6" w:space="0"/>
            </w:tcBorders>
            <w:shd w:val="clear" w:color="auto" w:fill="FFFFFF"/>
            <w:noWrap w:val="0"/>
            <w:vAlign w:val="center"/>
          </w:tcPr>
          <w:p>
            <w:pPr>
              <w:widowControl/>
              <w:jc w:val="left"/>
              <w:rPr>
                <w:rFonts w:hint="eastAsia" w:ascii="仿宋_GB2312" w:hAnsi="仿宋_GB2312" w:eastAsia="仿宋_GB2312" w:cs="仿宋_GB2312"/>
                <w:spacing w:val="7"/>
                <w:kern w:val="0"/>
                <w:sz w:val="24"/>
                <w:szCs w:val="24"/>
              </w:rPr>
            </w:pPr>
          </w:p>
        </w:tc>
        <w:tc>
          <w:tcPr>
            <w:tcW w:w="3924" w:type="dxa"/>
            <w:gridSpan w:val="5"/>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lang w:eastAsia="zh-CN"/>
              </w:rPr>
            </w:pPr>
            <w:r>
              <w:rPr>
                <w:rFonts w:hint="eastAsia" w:ascii="仿宋_GB2312" w:hAnsi="仿宋_GB2312" w:eastAsia="仿宋_GB2312" w:cs="仿宋_GB2312"/>
                <w:spacing w:val="7"/>
                <w:kern w:val="0"/>
                <w:sz w:val="24"/>
                <w:szCs w:val="24"/>
                <w:lang w:eastAsia="zh-CN"/>
              </w:rPr>
              <w:t>做好</w:t>
            </w:r>
            <w:r>
              <w:rPr>
                <w:rFonts w:hint="eastAsia" w:ascii="仿宋_GB2312" w:hAnsi="仿宋_GB2312" w:eastAsia="仿宋_GB2312" w:cs="仿宋_GB2312"/>
                <w:spacing w:val="7"/>
                <w:kern w:val="0"/>
                <w:sz w:val="24"/>
                <w:szCs w:val="24"/>
              </w:rPr>
              <w:t>公共卫生及计生</w:t>
            </w:r>
            <w:r>
              <w:rPr>
                <w:rFonts w:hint="eastAsia" w:ascii="仿宋_GB2312" w:hAnsi="仿宋_GB2312" w:eastAsia="仿宋_GB2312" w:cs="仿宋_GB2312"/>
                <w:spacing w:val="7"/>
                <w:kern w:val="0"/>
                <w:sz w:val="24"/>
                <w:szCs w:val="24"/>
                <w:lang w:eastAsia="zh-CN"/>
              </w:rPr>
              <w:t>工作</w:t>
            </w:r>
          </w:p>
        </w:tc>
        <w:tc>
          <w:tcPr>
            <w:tcW w:w="4091" w:type="dxa"/>
            <w:gridSpan w:val="6"/>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lang w:eastAsia="zh-CN"/>
              </w:rPr>
            </w:pPr>
            <w:r>
              <w:rPr>
                <w:rFonts w:hint="eastAsia" w:ascii="仿宋_GB2312" w:hAnsi="仿宋_GB2312" w:eastAsia="仿宋_GB2312" w:cs="仿宋_GB2312"/>
                <w:spacing w:val="7"/>
                <w:kern w:val="0"/>
                <w:sz w:val="24"/>
                <w:szCs w:val="24"/>
              </w:rPr>
              <w:t xml:space="preserve"> </w:t>
            </w:r>
            <w:r>
              <w:rPr>
                <w:rFonts w:hint="eastAsia" w:ascii="仿宋_GB2312" w:hAnsi="仿宋_GB2312" w:eastAsia="仿宋_GB2312" w:cs="仿宋_GB2312"/>
                <w:spacing w:val="7"/>
                <w:kern w:val="0"/>
                <w:sz w:val="24"/>
                <w:szCs w:val="24"/>
                <w:lang w:eastAsia="zh-CN"/>
              </w:rPr>
              <w:t>完成</w:t>
            </w:r>
            <w:r>
              <w:rPr>
                <w:rFonts w:hint="eastAsia" w:ascii="仿宋_GB2312" w:hAnsi="仿宋_GB2312" w:eastAsia="仿宋_GB2312" w:cs="仿宋_GB2312"/>
                <w:spacing w:val="7"/>
                <w:kern w:val="0"/>
                <w:sz w:val="24"/>
                <w:szCs w:val="24"/>
              </w:rPr>
              <w:t>公共卫生及计生</w:t>
            </w:r>
            <w:r>
              <w:rPr>
                <w:rFonts w:hint="eastAsia" w:ascii="仿宋_GB2312" w:hAnsi="仿宋_GB2312" w:eastAsia="仿宋_GB2312" w:cs="仿宋_GB2312"/>
                <w:spacing w:val="7"/>
                <w:kern w:val="0"/>
                <w:sz w:val="24"/>
                <w:szCs w:val="24"/>
                <w:lang w:eastAsia="zh-CN"/>
              </w:rPr>
              <w:t>工作</w:t>
            </w:r>
          </w:p>
        </w:tc>
      </w:tr>
      <w:tr>
        <w:tblPrEx>
          <w:tblCellMar>
            <w:top w:w="0" w:type="dxa"/>
            <w:left w:w="0" w:type="dxa"/>
            <w:bottom w:w="0" w:type="dxa"/>
            <w:right w:w="0" w:type="dxa"/>
          </w:tblCellMar>
        </w:tblPrEx>
        <w:trPr>
          <w:trHeight w:val="540" w:hRule="atLeast"/>
        </w:trPr>
        <w:tc>
          <w:tcPr>
            <w:tcW w:w="458" w:type="dxa"/>
            <w:vMerge w:val="restart"/>
            <w:tcBorders>
              <w:top w:val="nil"/>
              <w:left w:val="single" w:color="auto" w:sz="6" w:space="0"/>
              <w:bottom w:val="nil"/>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绩效指标</w:t>
            </w:r>
          </w:p>
        </w:tc>
        <w:tc>
          <w:tcPr>
            <w:tcW w:w="492" w:type="dxa"/>
            <w:tcBorders>
              <w:top w:val="nil"/>
              <w:left w:val="nil"/>
              <w:bottom w:val="single" w:color="auto" w:sz="4"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一级指标</w:t>
            </w:r>
          </w:p>
        </w:tc>
        <w:tc>
          <w:tcPr>
            <w:tcW w:w="993" w:type="dxa"/>
            <w:gridSpan w:val="2"/>
            <w:tcBorders>
              <w:top w:val="nil"/>
              <w:left w:val="nil"/>
              <w:bottom w:val="single" w:color="auto" w:sz="4"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二级指标</w:t>
            </w:r>
          </w:p>
        </w:tc>
        <w:tc>
          <w:tcPr>
            <w:tcW w:w="1125" w:type="dxa"/>
            <w:tcBorders>
              <w:top w:val="single" w:color="auto" w:sz="6" w:space="0"/>
              <w:left w:val="nil"/>
              <w:bottom w:val="single" w:color="auto" w:sz="4"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三级指标</w:t>
            </w:r>
          </w:p>
        </w:tc>
        <w:tc>
          <w:tcPr>
            <w:tcW w:w="1806" w:type="dxa"/>
            <w:gridSpan w:val="2"/>
            <w:tcBorders>
              <w:top w:val="nil"/>
              <w:left w:val="nil"/>
              <w:bottom w:val="single" w:color="auto" w:sz="4"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年度</w:t>
            </w:r>
          </w:p>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指标值</w:t>
            </w:r>
          </w:p>
        </w:tc>
        <w:tc>
          <w:tcPr>
            <w:tcW w:w="1224" w:type="dxa"/>
            <w:tcBorders>
              <w:top w:val="nil"/>
              <w:left w:val="nil"/>
              <w:bottom w:val="single" w:color="auto" w:sz="4"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实际</w:t>
            </w:r>
          </w:p>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完成值</w:t>
            </w:r>
          </w:p>
        </w:tc>
        <w:tc>
          <w:tcPr>
            <w:tcW w:w="795" w:type="dxa"/>
            <w:gridSpan w:val="2"/>
            <w:tcBorders>
              <w:top w:val="nil"/>
              <w:left w:val="nil"/>
              <w:bottom w:val="single" w:color="auto" w:sz="4"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权重</w:t>
            </w:r>
          </w:p>
        </w:tc>
        <w:tc>
          <w:tcPr>
            <w:tcW w:w="765" w:type="dxa"/>
            <w:tcBorders>
              <w:top w:val="nil"/>
              <w:left w:val="nil"/>
              <w:bottom w:val="single" w:color="auto" w:sz="4"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得分</w:t>
            </w:r>
          </w:p>
        </w:tc>
        <w:tc>
          <w:tcPr>
            <w:tcW w:w="1307" w:type="dxa"/>
            <w:gridSpan w:val="2"/>
            <w:tcBorders>
              <w:top w:val="single" w:color="auto" w:sz="6" w:space="0"/>
              <w:left w:val="nil"/>
              <w:bottom w:val="single" w:color="auto" w:sz="4"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偏差原因分析及改进措施</w:t>
            </w: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24"/>
                <w:szCs w:val="24"/>
              </w:rPr>
            </w:pPr>
          </w:p>
        </w:tc>
        <w:tc>
          <w:tcPr>
            <w:tcW w:w="49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产出指标</w:t>
            </w: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数量</w:t>
            </w:r>
          </w:p>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指标</w:t>
            </w:r>
          </w:p>
        </w:tc>
        <w:tc>
          <w:tcPr>
            <w:tcW w:w="112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指标</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计生会议培训人数</w:t>
            </w:r>
          </w:p>
        </w:tc>
        <w:tc>
          <w:tcPr>
            <w:tcW w:w="1224"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具体按实际人数核算</w:t>
            </w: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default" w:ascii="仿宋_GB2312" w:hAnsi="仿宋_GB2312" w:eastAsia="仿宋_GB2312" w:cs="仿宋_GB2312"/>
                <w:spacing w:val="7"/>
                <w:kern w:val="0"/>
                <w:sz w:val="24"/>
                <w:szCs w:val="24"/>
                <w:lang w:val="en-US" w:eastAsia="zh-CN"/>
              </w:rPr>
            </w:pPr>
            <w:r>
              <w:rPr>
                <w:rFonts w:hint="eastAsia" w:ascii="仿宋_GB2312" w:hAnsi="仿宋_GB2312" w:eastAsia="仿宋_GB2312" w:cs="仿宋_GB2312"/>
                <w:spacing w:val="7"/>
                <w:kern w:val="0"/>
                <w:sz w:val="24"/>
                <w:szCs w:val="24"/>
                <w:lang w:val="en-US" w:eastAsia="zh-CN"/>
              </w:rPr>
              <w:t>20</w:t>
            </w: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default" w:ascii="仿宋_GB2312" w:hAnsi="仿宋_GB2312" w:eastAsia="仿宋_GB2312" w:cs="仿宋_GB2312"/>
                <w:spacing w:val="7"/>
                <w:kern w:val="0"/>
                <w:sz w:val="24"/>
                <w:szCs w:val="24"/>
                <w:lang w:val="en-US" w:eastAsia="zh-CN"/>
              </w:rPr>
            </w:pPr>
            <w:r>
              <w:rPr>
                <w:rFonts w:hint="eastAsia" w:ascii="仿宋_GB2312" w:hAnsi="仿宋_GB2312" w:eastAsia="仿宋_GB2312" w:cs="仿宋_GB2312"/>
                <w:spacing w:val="7"/>
                <w:kern w:val="0"/>
                <w:sz w:val="24"/>
                <w:szCs w:val="24"/>
                <w:lang w:val="en-US" w:eastAsia="zh-CN"/>
              </w:rPr>
              <w:t>20</w:t>
            </w: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24"/>
                <w:szCs w:val="24"/>
              </w:rPr>
            </w:pPr>
          </w:p>
        </w:tc>
        <w:tc>
          <w:tcPr>
            <w:tcW w:w="492" w:type="dxa"/>
            <w:vMerge w:val="restart"/>
            <w:tcBorders>
              <w:top w:val="single" w:color="auto" w:sz="4"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效益指标</w:t>
            </w: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lang w:val="en-US" w:eastAsia="zh-CN" w:bidi="ar-SA"/>
              </w:rPr>
            </w:pPr>
            <w:r>
              <w:rPr>
                <w:rFonts w:hint="eastAsia" w:ascii="仿宋_GB2312" w:hAnsi="仿宋_GB2312" w:eastAsia="仿宋_GB2312" w:cs="仿宋_GB2312"/>
                <w:spacing w:val="7"/>
                <w:kern w:val="0"/>
                <w:sz w:val="24"/>
                <w:szCs w:val="24"/>
              </w:rPr>
              <w:t>社会效益指标</w:t>
            </w:r>
          </w:p>
          <w:p>
            <w:pPr>
              <w:widowControl/>
              <w:wordWrap w:val="0"/>
              <w:spacing w:line="240" w:lineRule="atLeast"/>
              <w:jc w:val="center"/>
              <w:rPr>
                <w:rFonts w:hint="eastAsia" w:ascii="仿宋_GB2312" w:hAnsi="仿宋_GB2312" w:eastAsia="仿宋_GB2312" w:cs="仿宋_GB2312"/>
                <w:spacing w:val="7"/>
                <w:kern w:val="0"/>
                <w:sz w:val="24"/>
                <w:szCs w:val="24"/>
              </w:rPr>
            </w:pPr>
          </w:p>
        </w:tc>
        <w:tc>
          <w:tcPr>
            <w:tcW w:w="112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24"/>
                <w:szCs w:val="24"/>
                <w:lang w:val="en-US" w:eastAsia="zh-CN" w:bidi="ar-SA"/>
              </w:rPr>
            </w:pPr>
            <w:r>
              <w:rPr>
                <w:rFonts w:hint="eastAsia" w:ascii="仿宋_GB2312" w:hAnsi="仿宋_GB2312" w:eastAsia="仿宋_GB2312" w:cs="仿宋_GB2312"/>
                <w:spacing w:val="7"/>
                <w:kern w:val="0"/>
                <w:sz w:val="24"/>
                <w:szCs w:val="24"/>
              </w:rPr>
              <w:t>指标</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lang w:val="en-US" w:eastAsia="zh-CN" w:bidi="ar-SA"/>
              </w:rPr>
            </w:pPr>
            <w:r>
              <w:rPr>
                <w:rFonts w:hint="eastAsia" w:ascii="仿宋_GB2312" w:hAnsi="仿宋_GB2312" w:eastAsia="仿宋_GB2312" w:cs="仿宋_GB2312"/>
                <w:spacing w:val="7"/>
                <w:kern w:val="0"/>
                <w:sz w:val="24"/>
                <w:szCs w:val="24"/>
                <w:lang w:eastAsia="zh-CN"/>
              </w:rPr>
              <w:t>做好卫生工作，维护群众健康</w:t>
            </w:r>
          </w:p>
        </w:tc>
        <w:tc>
          <w:tcPr>
            <w:tcW w:w="1224"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lang w:val="en-US" w:eastAsia="zh-CN" w:bidi="ar-SA"/>
              </w:rPr>
            </w:pPr>
            <w:r>
              <w:rPr>
                <w:rFonts w:hint="eastAsia" w:ascii="仿宋_GB2312" w:hAnsi="仿宋_GB2312" w:eastAsia="仿宋_GB2312" w:cs="仿宋_GB2312"/>
                <w:spacing w:val="7"/>
                <w:kern w:val="0"/>
                <w:sz w:val="24"/>
                <w:szCs w:val="24"/>
                <w:lang w:eastAsia="zh-CN"/>
              </w:rPr>
              <w:t>提升卫生工作</w:t>
            </w: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lang w:val="en-US" w:eastAsia="zh-CN" w:bidi="ar-SA"/>
              </w:rPr>
            </w:pPr>
            <w:r>
              <w:rPr>
                <w:rFonts w:hint="eastAsia" w:ascii="仿宋_GB2312" w:hAnsi="仿宋_GB2312" w:eastAsia="仿宋_GB2312" w:cs="仿宋_GB2312"/>
                <w:spacing w:val="7"/>
                <w:kern w:val="0"/>
                <w:sz w:val="24"/>
                <w:szCs w:val="24"/>
                <w:lang w:val="en-US" w:eastAsia="zh-CN"/>
              </w:rPr>
              <w:t>30</w:t>
            </w: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lang w:val="en-US" w:eastAsia="zh-CN" w:bidi="ar-SA"/>
              </w:rPr>
            </w:pPr>
            <w:r>
              <w:rPr>
                <w:rFonts w:hint="eastAsia" w:ascii="仿宋_GB2312" w:hAnsi="仿宋_GB2312" w:eastAsia="仿宋_GB2312" w:cs="仿宋_GB2312"/>
                <w:spacing w:val="7"/>
                <w:kern w:val="0"/>
                <w:sz w:val="24"/>
                <w:szCs w:val="24"/>
                <w:lang w:val="en-US" w:eastAsia="zh-CN"/>
              </w:rPr>
              <w:t>29</w:t>
            </w: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p>
        </w:tc>
      </w:tr>
      <w:tr>
        <w:tblPrEx>
          <w:tblCellMar>
            <w:top w:w="0" w:type="dxa"/>
            <w:left w:w="0" w:type="dxa"/>
            <w:bottom w:w="0" w:type="dxa"/>
            <w:right w:w="0" w:type="dxa"/>
          </w:tblCellMar>
        </w:tblPrEx>
        <w:trPr>
          <w:trHeight w:val="300" w:hRule="atLeast"/>
        </w:trPr>
        <w:tc>
          <w:tcPr>
            <w:tcW w:w="458" w:type="dxa"/>
            <w:vMerge w:val="restart"/>
            <w:tcBorders>
              <w:top w:val="nil"/>
              <w:left w:val="single" w:color="auto" w:sz="6"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24"/>
                <w:szCs w:val="24"/>
              </w:rPr>
            </w:pPr>
          </w:p>
        </w:tc>
        <w:tc>
          <w:tcPr>
            <w:tcW w:w="492" w:type="dxa"/>
            <w:vMerge w:val="continue"/>
            <w:tcBorders>
              <w:left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24"/>
                <w:szCs w:val="24"/>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可持续影响指标</w:t>
            </w:r>
          </w:p>
        </w:tc>
        <w:tc>
          <w:tcPr>
            <w:tcW w:w="112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指标</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公共卫生配套设施</w:t>
            </w:r>
          </w:p>
        </w:tc>
        <w:tc>
          <w:tcPr>
            <w:tcW w:w="1224"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逐渐完善</w:t>
            </w: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default" w:ascii="仿宋_GB2312" w:hAnsi="仿宋_GB2312" w:eastAsia="仿宋_GB2312" w:cs="仿宋_GB2312"/>
                <w:spacing w:val="7"/>
                <w:kern w:val="0"/>
                <w:sz w:val="24"/>
                <w:szCs w:val="24"/>
                <w:lang w:val="en-US" w:eastAsia="zh-CN"/>
              </w:rPr>
            </w:pPr>
            <w:r>
              <w:rPr>
                <w:rFonts w:hint="eastAsia" w:ascii="仿宋_GB2312" w:hAnsi="仿宋_GB2312" w:eastAsia="仿宋_GB2312" w:cs="仿宋_GB2312"/>
                <w:spacing w:val="7"/>
                <w:kern w:val="0"/>
                <w:sz w:val="24"/>
                <w:szCs w:val="24"/>
                <w:lang w:val="en-US" w:eastAsia="zh-CN"/>
              </w:rPr>
              <w:t>20</w:t>
            </w: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default" w:ascii="仿宋_GB2312" w:hAnsi="仿宋_GB2312" w:eastAsia="仿宋_GB2312" w:cs="仿宋_GB2312"/>
                <w:spacing w:val="7"/>
                <w:kern w:val="0"/>
                <w:sz w:val="24"/>
                <w:szCs w:val="24"/>
                <w:lang w:val="en-US" w:eastAsia="zh-CN"/>
              </w:rPr>
            </w:pPr>
            <w:r>
              <w:rPr>
                <w:rFonts w:hint="eastAsia" w:ascii="仿宋_GB2312" w:hAnsi="仿宋_GB2312" w:eastAsia="仿宋_GB2312" w:cs="仿宋_GB2312"/>
                <w:spacing w:val="7"/>
                <w:kern w:val="0"/>
                <w:sz w:val="24"/>
                <w:szCs w:val="24"/>
                <w:lang w:val="en-US" w:eastAsia="zh-CN"/>
              </w:rPr>
              <w:t>19</w:t>
            </w: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24"/>
                <w:szCs w:val="24"/>
              </w:rPr>
            </w:pPr>
          </w:p>
        </w:tc>
        <w:tc>
          <w:tcPr>
            <w:tcW w:w="49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满意度</w:t>
            </w:r>
          </w:p>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指标</w:t>
            </w: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服务对象满意度指标</w:t>
            </w:r>
          </w:p>
        </w:tc>
        <w:tc>
          <w:tcPr>
            <w:tcW w:w="112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指标</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default" w:ascii="仿宋_GB2312" w:hAnsi="仿宋_GB2312" w:eastAsia="仿宋_GB2312" w:cs="仿宋_GB2312"/>
                <w:spacing w:val="7"/>
                <w:kern w:val="0"/>
                <w:sz w:val="24"/>
                <w:szCs w:val="24"/>
                <w:lang w:val="en-US" w:eastAsia="zh-CN"/>
              </w:rPr>
            </w:pPr>
            <w:r>
              <w:rPr>
                <w:rFonts w:hint="eastAsia" w:ascii="仿宋_GB2312" w:hAnsi="仿宋_GB2312" w:eastAsia="仿宋_GB2312" w:cs="仿宋_GB2312"/>
                <w:spacing w:val="7"/>
                <w:kern w:val="0"/>
                <w:sz w:val="24"/>
                <w:szCs w:val="24"/>
                <w:lang w:val="en-US" w:eastAsia="zh-CN"/>
              </w:rPr>
              <w:t>群众满意度</w:t>
            </w:r>
          </w:p>
        </w:tc>
        <w:tc>
          <w:tcPr>
            <w:tcW w:w="1224"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满意</w:t>
            </w: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default" w:ascii="仿宋_GB2312" w:hAnsi="仿宋_GB2312" w:eastAsia="仿宋_GB2312" w:cs="仿宋_GB2312"/>
                <w:spacing w:val="7"/>
                <w:kern w:val="0"/>
                <w:sz w:val="24"/>
                <w:szCs w:val="24"/>
                <w:lang w:val="en-US" w:eastAsia="zh-CN"/>
              </w:rPr>
            </w:pPr>
            <w:r>
              <w:rPr>
                <w:rFonts w:hint="eastAsia" w:ascii="仿宋_GB2312" w:hAnsi="仿宋_GB2312" w:eastAsia="仿宋_GB2312" w:cs="仿宋_GB2312"/>
                <w:spacing w:val="7"/>
                <w:kern w:val="0"/>
                <w:sz w:val="24"/>
                <w:szCs w:val="24"/>
                <w:lang w:val="en-US" w:eastAsia="zh-CN"/>
              </w:rPr>
              <w:t>30</w:t>
            </w: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default" w:ascii="仿宋_GB2312" w:hAnsi="仿宋_GB2312" w:eastAsia="仿宋_GB2312" w:cs="仿宋_GB2312"/>
                <w:spacing w:val="7"/>
                <w:kern w:val="0"/>
                <w:sz w:val="24"/>
                <w:szCs w:val="24"/>
                <w:lang w:val="en-US" w:eastAsia="zh-CN"/>
              </w:rPr>
            </w:pPr>
            <w:r>
              <w:rPr>
                <w:rFonts w:hint="eastAsia" w:ascii="仿宋_GB2312" w:hAnsi="仿宋_GB2312" w:eastAsia="仿宋_GB2312" w:cs="仿宋_GB2312"/>
                <w:spacing w:val="7"/>
                <w:kern w:val="0"/>
                <w:sz w:val="24"/>
                <w:szCs w:val="24"/>
                <w:lang w:val="en-US" w:eastAsia="zh-CN"/>
              </w:rPr>
              <w:t>29</w:t>
            </w: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p>
        </w:tc>
      </w:tr>
      <w:tr>
        <w:tblPrEx>
          <w:tblCellMar>
            <w:top w:w="0" w:type="dxa"/>
            <w:left w:w="0" w:type="dxa"/>
            <w:bottom w:w="0" w:type="dxa"/>
            <w:right w:w="0" w:type="dxa"/>
          </w:tblCellMar>
        </w:tblPrEx>
        <w:trPr>
          <w:trHeight w:val="300" w:hRule="atLeast"/>
        </w:trPr>
        <w:tc>
          <w:tcPr>
            <w:tcW w:w="6098" w:type="dxa"/>
            <w:gridSpan w:val="8"/>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总分</w:t>
            </w: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100</w:t>
            </w: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default" w:ascii="仿宋_GB2312" w:hAnsi="仿宋_GB2312" w:eastAsia="仿宋_GB2312" w:cs="仿宋_GB2312"/>
                <w:spacing w:val="7"/>
                <w:kern w:val="0"/>
                <w:sz w:val="24"/>
                <w:szCs w:val="24"/>
                <w:lang w:val="en-US" w:eastAsia="zh-CN"/>
              </w:rPr>
            </w:pPr>
            <w:r>
              <w:rPr>
                <w:rFonts w:hint="eastAsia" w:ascii="仿宋_GB2312" w:hAnsi="仿宋_GB2312" w:eastAsia="仿宋_GB2312" w:cs="仿宋_GB2312"/>
                <w:spacing w:val="7"/>
                <w:kern w:val="0"/>
                <w:sz w:val="24"/>
                <w:szCs w:val="24"/>
                <w:lang w:val="en-US" w:eastAsia="zh-CN"/>
              </w:rPr>
              <w:t>97</w:t>
            </w: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p>
        </w:tc>
      </w:tr>
      <w:tr>
        <w:tblPrEx>
          <w:tblCellMar>
            <w:top w:w="0" w:type="dxa"/>
            <w:left w:w="0" w:type="dxa"/>
            <w:bottom w:w="0" w:type="dxa"/>
            <w:right w:w="0" w:type="dxa"/>
          </w:tblCellMar>
        </w:tblPrEx>
        <w:trPr>
          <w:trHeight w:val="300" w:hRule="atLeast"/>
        </w:trPr>
        <w:tc>
          <w:tcPr>
            <w:tcW w:w="1835" w:type="dxa"/>
            <w:gridSpan w:val="3"/>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自评结论</w:t>
            </w:r>
          </w:p>
        </w:tc>
        <w:tc>
          <w:tcPr>
            <w:tcW w:w="4263" w:type="dxa"/>
            <w:gridSpan w:val="5"/>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color w:val="000000"/>
                <w:kern w:val="0"/>
                <w:sz w:val="24"/>
                <w:szCs w:val="24"/>
                <w:lang w:bidi="ar"/>
              </w:rPr>
              <w:t>优</w:t>
            </w:r>
            <w:r>
              <w:rPr>
                <w:rFonts w:hint="eastAsia" w:ascii="仿宋_GB2312" w:hAnsi="仿宋_GB2312" w:eastAsia="仿宋_GB2312" w:cs="仿宋_GB2312"/>
                <w:color w:val="000000"/>
                <w:kern w:val="0"/>
                <w:sz w:val="24"/>
                <w:szCs w:val="24"/>
                <w:lang w:eastAsia="zh-CN" w:bidi="ar"/>
              </w:rPr>
              <w:t>☑</w:t>
            </w:r>
            <w:r>
              <w:rPr>
                <w:rFonts w:hint="eastAsia" w:ascii="仿宋_GB2312" w:hAnsi="仿宋_GB2312" w:eastAsia="仿宋_GB2312" w:cs="仿宋_GB2312"/>
                <w:color w:val="000000"/>
                <w:kern w:val="0"/>
                <w:sz w:val="24"/>
                <w:szCs w:val="24"/>
                <w:lang w:bidi="ar"/>
              </w:rPr>
              <w:t xml:space="preserve">      良□      中□    差□</w:t>
            </w:r>
          </w:p>
        </w:tc>
        <w:tc>
          <w:tcPr>
            <w:tcW w:w="2867" w:type="dxa"/>
            <w:gridSpan w:val="5"/>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24"/>
                <w:szCs w:val="24"/>
              </w:rPr>
            </w:pPr>
            <w:r>
              <w:rPr>
                <w:rFonts w:hint="eastAsia" w:ascii="仿宋_GB2312" w:hAnsi="仿宋_GB2312" w:eastAsia="仿宋_GB2312" w:cs="仿宋_GB2312"/>
                <w:color w:val="000000"/>
                <w:kern w:val="0"/>
                <w:sz w:val="24"/>
                <w:szCs w:val="24"/>
                <w:lang w:bidi="ar"/>
              </w:rPr>
              <w:t>总分高于90分（含）的结论为“优”，90～80分（含）为“良”，80～60分（含）为“中”，低于60分为“差”。</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宋体" w:hAnsi="宋体" w:eastAsia="宋体" w:cs="宋体"/>
          <w:i w:val="0"/>
          <w:iCs w:val="0"/>
          <w:caps w:val="0"/>
          <w:color w:val="000000"/>
          <w:spacing w:val="0"/>
          <w:sz w:val="21"/>
          <w:szCs w:val="2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宋体" w:hAnsi="宋体" w:eastAsia="宋体" w:cs="宋体"/>
          <w:i w:val="0"/>
          <w:iCs w:val="0"/>
          <w:caps w:val="0"/>
          <w:color w:val="000000"/>
          <w:spacing w:val="0"/>
          <w:sz w:val="21"/>
          <w:szCs w:val="21"/>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b/>
          <w:bCs/>
          <w:i w:val="0"/>
          <w:caps w:val="0"/>
          <w:color w:val="000000" w:themeColor="text1"/>
          <w:spacing w:val="0"/>
          <w:sz w:val="28"/>
          <w:szCs w:val="28"/>
          <w:shd w:val="clear" w:fill="FFFFFF"/>
          <w:lang w:val="en-US" w:eastAsia="zh-CN"/>
          <w14:textFill>
            <w14:solidFill>
              <w14:schemeClr w14:val="tx1"/>
            </w14:solidFill>
          </w14:textFill>
        </w:rPr>
      </w:pPr>
      <w:r>
        <w:rPr>
          <w:rFonts w:hint="eastAsia" w:ascii="仿宋" w:hAnsi="仿宋" w:eastAsia="仿宋" w:cs="仿宋"/>
          <w:b/>
          <w:bCs/>
          <w:i w:val="0"/>
          <w:caps w:val="0"/>
          <w:color w:val="000000" w:themeColor="text1"/>
          <w:spacing w:val="0"/>
          <w:sz w:val="28"/>
          <w:szCs w:val="28"/>
          <w:shd w:val="clear" w:fill="FFFFFF"/>
          <w:lang w:val="en-US" w:eastAsia="zh-CN"/>
          <w14:textFill>
            <w14:solidFill>
              <w14:schemeClr w14:val="tx1"/>
            </w14:solidFill>
          </w14:textFill>
        </w:rPr>
        <w:t>3.财政评价项目绩效评价结果。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right="0" w:firstLine="840" w:firstLineChars="300"/>
        <w:jc w:val="both"/>
        <w:rPr>
          <w:rFonts w:hint="default"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t>无。</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620" w:leftChars="0" w:right="0" w:rightChars="0"/>
        <w:jc w:val="both"/>
        <w:rPr>
          <w:rFonts w:hint="eastAsia" w:ascii="仿宋" w:hAnsi="仿宋" w:eastAsia="仿宋" w:cs="仿宋"/>
          <w:b/>
          <w:bCs/>
          <w:i w:val="0"/>
          <w:caps w:val="0"/>
          <w:color w:val="000000" w:themeColor="text1"/>
          <w:spacing w:val="0"/>
          <w:sz w:val="28"/>
          <w:szCs w:val="28"/>
          <w:shd w:val="clear" w:fill="FFFFFF"/>
          <w:lang w:val="en-US" w:eastAsia="zh-CN"/>
          <w14:textFill>
            <w14:solidFill>
              <w14:schemeClr w14:val="tx1"/>
            </w14:solidFill>
          </w14:textFill>
        </w:rPr>
      </w:pPr>
      <w:r>
        <w:rPr>
          <w:rFonts w:hint="eastAsia" w:ascii="仿宋" w:hAnsi="仿宋" w:eastAsia="仿宋" w:cs="仿宋"/>
          <w:b/>
          <w:bCs/>
          <w:i w:val="0"/>
          <w:caps w:val="0"/>
          <w:color w:val="000000" w:themeColor="text1"/>
          <w:spacing w:val="0"/>
          <w:sz w:val="28"/>
          <w:szCs w:val="28"/>
          <w:shd w:val="clear" w:fill="FFFFFF"/>
          <w:lang w:val="en-US" w:eastAsia="zh-CN"/>
          <w14:textFill>
            <w14:solidFill>
              <w14:schemeClr w14:val="tx1"/>
            </w14:solidFill>
          </w14:textFill>
        </w:rPr>
        <w:t>4.部门评价项目绩效评价结果。</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right="0" w:rightChars="0" w:firstLine="560" w:firstLineChars="200"/>
        <w:jc w:val="both"/>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仿宋" w:hAnsi="仿宋" w:eastAsia="仿宋" w:cs="仿宋"/>
          <w:b w:val="0"/>
          <w:bCs w:val="0"/>
          <w:i w:val="0"/>
          <w:caps w:val="0"/>
          <w:color w:val="000000" w:themeColor="text1"/>
          <w:spacing w:val="0"/>
          <w:sz w:val="28"/>
          <w:szCs w:val="28"/>
          <w:shd w:val="clear" w:fill="FFFFFF"/>
          <w:lang w:val="en-US" w:eastAsia="zh-CN"/>
          <w14:textFill>
            <w14:solidFill>
              <w14:schemeClr w14:val="tx1"/>
            </w14:solidFill>
          </w14:textFill>
        </w:rPr>
        <w:t xml:space="preserve"> </w:t>
      </w:r>
      <w:r>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t xml:space="preserve"> 良好。</w:t>
      </w:r>
    </w:p>
    <w:p>
      <w:pPr>
        <w:pStyle w:val="2"/>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right="0" w:rightChars="0" w:firstLine="562" w:firstLineChars="200"/>
        <w:jc w:val="both"/>
        <w:rPr>
          <w:rFonts w:hint="eastAsia" w:ascii="黑体" w:hAnsi="黑体" w:eastAsia="黑体" w:cs="黑体"/>
          <w:b/>
          <w:bCs/>
          <w:i w:val="0"/>
          <w:caps w:val="0"/>
          <w:color w:val="000000" w:themeColor="text1"/>
          <w:spacing w:val="0"/>
          <w:sz w:val="28"/>
          <w:szCs w:val="28"/>
          <w:shd w:val="clear" w:fill="FFFFFF"/>
          <w:lang w:val="en-US" w:eastAsia="zh-CN"/>
          <w14:textFill>
            <w14:solidFill>
              <w14:schemeClr w14:val="tx1"/>
            </w14:solidFill>
          </w14:textFill>
        </w:rPr>
      </w:pPr>
      <w:r>
        <w:rPr>
          <w:rFonts w:hint="eastAsia" w:ascii="黑体" w:hAnsi="黑体" w:eastAsia="黑体" w:cs="黑体"/>
          <w:b/>
          <w:bCs/>
          <w:i w:val="0"/>
          <w:caps w:val="0"/>
          <w:color w:val="000000" w:themeColor="text1"/>
          <w:spacing w:val="0"/>
          <w:sz w:val="28"/>
          <w:szCs w:val="28"/>
          <w:shd w:val="clear" w:fill="FFFFFF"/>
          <w:lang w:val="en-US" w:eastAsia="zh-CN"/>
          <w14:textFill>
            <w14:solidFill>
              <w14:schemeClr w14:val="tx1"/>
            </w14:solidFill>
          </w14:textFill>
        </w:rPr>
        <w:t>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t>1.财政拨款收入：指本级财政部门当年拨付的财政预算资金，包括一般公共预算财政拨款、政府性基金预算财政拨款和国有资本经营预算财政拨款。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t>2.事业收入：指事业单位开展专业业务活动及辅助活动所取得的收入。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t>3.经营收入：指事业单位在专业业务活动及辅助活动之外开展非独立核算经营活动取得的收入。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t>4.上级补助收入：指事业单位从主管部门和上级单位取得的非财政补助收入。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t>5.附属单位上缴收入：指事业单位附属独立核算单位按照有关规定上缴的收入。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t>6.其他收入：指预算单位在“财政拨款”、“事业收入”、“经营收入”、“上级补助收入”、“附属单位上缴收入”等之外取得的各项收入。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t>7.使用非财政拨款结余：指事业单位使用以前年度积累的非财政拨款结余弥补当年收支差额的金额。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t>8.年初结转和结余：指预算单位以前年度尚未完成、结转到本年仍按原规定用途继续使用的资金。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t>9.年末结转和结余：指单位按有关规定结转到下年或以后年度继续使用的资金。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default"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pPr>
      <w:r>
        <w:rPr>
          <w:rFonts w:hint="default"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t>10.基本支出：指预算单位为保障其正常运转，完成日常工作任务所发生的支出，包括人员经费支出和日常公用经费支出。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default"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pPr>
      <w:r>
        <w:rPr>
          <w:rFonts w:hint="default"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t>11.项目支出：指预算单位为完成其特定的行政工作任务或事业发展目标所发生的支出。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default"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pPr>
      <w:r>
        <w:rPr>
          <w:rFonts w:hint="default"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t>12.上缴上级支出：填列事业单位按照财政部门和主管部门的规定上缴上级单位的支出。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default"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pPr>
      <w:r>
        <w:rPr>
          <w:rFonts w:hint="default"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t>13.经营支出：指事业单位在专业业务活动及其辅助活动之外开展非独立核算经营活动发生的支出。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default"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pPr>
      <w:r>
        <w:rPr>
          <w:rFonts w:hint="default"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t>14.附属单位补助支出：填列事业单位用财政补助收入之外的收入对附属单位补助发生的支出。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default"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pPr>
      <w:r>
        <w:rPr>
          <w:rFonts w:hint="default"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t>15.“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等支出；公务接待费反映单位按规定开支的各类公务接待（含外宾接待）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default"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pPr>
      <w:r>
        <w:rPr>
          <w:rFonts w:hint="default"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t>17.一般公共服务支出(类)财政事务(款)财政玉库业务(项):反映财政部门用于国库集中收付业务方面的支出。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t>18.一般公共服务支出(类)财政事务(款)事业运行(项):反映事业单位的基本支出，不包括行政单位(包括实行公务员管理的事业单位)后勤服务中心、医务室等附属事业单位。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t>19.社会保障和就业支出(类)行政喜业单位养老支出(款)机关事业单位基本养老保险缴费支出(项):反映机关事业单位实施养老保险制度由单位缴纳的基本养老保险费支出。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3" w:lineRule="atLeast"/>
        <w:ind w:left="0" w:right="0" w:firstLine="600"/>
        <w:jc w:val="both"/>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t>20.社会保障和就业支出(类)行政事业单位养老支出(款)机关事业单位职业年金缴费支出(项):反映机关事业单位实施养老保险制度由单位实际缴纳的职业年金支出。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8EAC09"/>
    <w:multiLevelType w:val="singleLevel"/>
    <w:tmpl w:val="A88EAC09"/>
    <w:lvl w:ilvl="0" w:tentative="0">
      <w:start w:val="1"/>
      <w:numFmt w:val="chineseCounting"/>
      <w:suff w:val="nothing"/>
      <w:lvlText w:val="%1、"/>
      <w:lvlJc w:val="left"/>
      <w:pPr>
        <w:ind w:left="30"/>
      </w:pPr>
      <w:rPr>
        <w:rFonts w:hint="eastAsia"/>
      </w:rPr>
    </w:lvl>
  </w:abstractNum>
  <w:abstractNum w:abstractNumId="1">
    <w:nsid w:val="F55DDA93"/>
    <w:multiLevelType w:val="singleLevel"/>
    <w:tmpl w:val="F55DDA93"/>
    <w:lvl w:ilvl="0" w:tentative="0">
      <w:start w:val="1"/>
      <w:numFmt w:val="chineseCounting"/>
      <w:suff w:val="nothing"/>
      <w:lvlText w:val="%1、"/>
      <w:lvlJc w:val="left"/>
      <w:rPr>
        <w:rFonts w:hint="eastAsia"/>
      </w:rPr>
    </w:lvl>
  </w:abstractNum>
  <w:abstractNum w:abstractNumId="2">
    <w:nsid w:val="1115DD37"/>
    <w:multiLevelType w:val="singleLevel"/>
    <w:tmpl w:val="1115DD37"/>
    <w:lvl w:ilvl="0" w:tentative="0">
      <w:start w:val="1"/>
      <w:numFmt w:val="chineseCounting"/>
      <w:suff w:val="nothing"/>
      <w:lvlText w:val="（%1）"/>
      <w:lvlJc w:val="left"/>
      <w:pPr>
        <w:ind w:left="420"/>
      </w:pPr>
      <w:rPr>
        <w:rFonts w:hint="eastAsia"/>
      </w:rPr>
    </w:lvl>
  </w:abstractNum>
  <w:abstractNum w:abstractNumId="3">
    <w:nsid w:val="18B1B353"/>
    <w:multiLevelType w:val="singleLevel"/>
    <w:tmpl w:val="18B1B353"/>
    <w:lvl w:ilvl="0" w:tentative="0">
      <w:start w:val="4"/>
      <w:numFmt w:val="chineseCounting"/>
      <w:suff w:val="nothing"/>
      <w:lvlText w:val="%1、"/>
      <w:lvlJc w:val="left"/>
      <w:rPr>
        <w:rFonts w:hint="eastAsia"/>
      </w:rPr>
    </w:lvl>
  </w:abstractNum>
  <w:abstractNum w:abstractNumId="4">
    <w:nsid w:val="20DD3AF8"/>
    <w:multiLevelType w:val="singleLevel"/>
    <w:tmpl w:val="20DD3AF8"/>
    <w:lvl w:ilvl="0" w:tentative="0">
      <w:start w:val="1"/>
      <w:numFmt w:val="chineseCounting"/>
      <w:suff w:val="nothing"/>
      <w:lvlText w:val="（%1）"/>
      <w:lvlJc w:val="left"/>
      <w:pPr>
        <w:ind w:left="420"/>
      </w:pPr>
      <w:rPr>
        <w:rFonts w:hint="eastAsia"/>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zYWY3NmNhY2QzZTBmMjBmNTY4MWQ1N2U5ZDc5MjkifQ=="/>
  </w:docVars>
  <w:rsids>
    <w:rsidRoot w:val="00516183"/>
    <w:rsid w:val="00516183"/>
    <w:rsid w:val="00B8121E"/>
    <w:rsid w:val="00D36CD4"/>
    <w:rsid w:val="00FA7A41"/>
    <w:rsid w:val="01316D3F"/>
    <w:rsid w:val="01B66643"/>
    <w:rsid w:val="01D74A4F"/>
    <w:rsid w:val="020C0797"/>
    <w:rsid w:val="024B716B"/>
    <w:rsid w:val="0347679A"/>
    <w:rsid w:val="045C5AEB"/>
    <w:rsid w:val="04EC70B5"/>
    <w:rsid w:val="078D3BF7"/>
    <w:rsid w:val="089D0C9D"/>
    <w:rsid w:val="091155C7"/>
    <w:rsid w:val="09187C60"/>
    <w:rsid w:val="09C000DC"/>
    <w:rsid w:val="0BA85BF8"/>
    <w:rsid w:val="0CB3217A"/>
    <w:rsid w:val="0E0E1550"/>
    <w:rsid w:val="0F253ED4"/>
    <w:rsid w:val="0FF1029E"/>
    <w:rsid w:val="111F4628"/>
    <w:rsid w:val="14445DAD"/>
    <w:rsid w:val="1547659E"/>
    <w:rsid w:val="15FE6320"/>
    <w:rsid w:val="16F822AB"/>
    <w:rsid w:val="176036DF"/>
    <w:rsid w:val="17F54344"/>
    <w:rsid w:val="180B2B90"/>
    <w:rsid w:val="1862759B"/>
    <w:rsid w:val="18AD5C69"/>
    <w:rsid w:val="18B723C6"/>
    <w:rsid w:val="18ED6A9B"/>
    <w:rsid w:val="194441A6"/>
    <w:rsid w:val="198A1EF3"/>
    <w:rsid w:val="1AB554AE"/>
    <w:rsid w:val="1B154BC3"/>
    <w:rsid w:val="1B7C0E62"/>
    <w:rsid w:val="1C033706"/>
    <w:rsid w:val="1C476F16"/>
    <w:rsid w:val="1D13322D"/>
    <w:rsid w:val="1DF33A34"/>
    <w:rsid w:val="1DF72260"/>
    <w:rsid w:val="1E8A5D3D"/>
    <w:rsid w:val="1F3F1991"/>
    <w:rsid w:val="203648EE"/>
    <w:rsid w:val="204F06CE"/>
    <w:rsid w:val="20DA46E3"/>
    <w:rsid w:val="21314CB6"/>
    <w:rsid w:val="21510DC1"/>
    <w:rsid w:val="230642A6"/>
    <w:rsid w:val="234C6F2C"/>
    <w:rsid w:val="244D67D0"/>
    <w:rsid w:val="24DE5223"/>
    <w:rsid w:val="27001D18"/>
    <w:rsid w:val="27B63108"/>
    <w:rsid w:val="298E549E"/>
    <w:rsid w:val="2AA93A20"/>
    <w:rsid w:val="2B6D61E7"/>
    <w:rsid w:val="2BF3415D"/>
    <w:rsid w:val="2CDC6535"/>
    <w:rsid w:val="2D26209C"/>
    <w:rsid w:val="2DF000DD"/>
    <w:rsid w:val="305B105A"/>
    <w:rsid w:val="307D70A5"/>
    <w:rsid w:val="30DD7723"/>
    <w:rsid w:val="31116AC5"/>
    <w:rsid w:val="31F14A27"/>
    <w:rsid w:val="32464721"/>
    <w:rsid w:val="32F83CA9"/>
    <w:rsid w:val="330864CC"/>
    <w:rsid w:val="34394463"/>
    <w:rsid w:val="345B1872"/>
    <w:rsid w:val="34EB1DED"/>
    <w:rsid w:val="357C0670"/>
    <w:rsid w:val="3687595A"/>
    <w:rsid w:val="37CC1D7B"/>
    <w:rsid w:val="39481374"/>
    <w:rsid w:val="39681047"/>
    <w:rsid w:val="3B734A47"/>
    <w:rsid w:val="3BCB67CE"/>
    <w:rsid w:val="3BFB4B3C"/>
    <w:rsid w:val="3C2B2C28"/>
    <w:rsid w:val="3C3B3D9D"/>
    <w:rsid w:val="3D91242D"/>
    <w:rsid w:val="3D962559"/>
    <w:rsid w:val="3D9D3882"/>
    <w:rsid w:val="3DD74245"/>
    <w:rsid w:val="4010183C"/>
    <w:rsid w:val="40296F60"/>
    <w:rsid w:val="40975EA3"/>
    <w:rsid w:val="421C3E23"/>
    <w:rsid w:val="422174C9"/>
    <w:rsid w:val="42BB2378"/>
    <w:rsid w:val="42C50E3F"/>
    <w:rsid w:val="44B40E5A"/>
    <w:rsid w:val="49375A9C"/>
    <w:rsid w:val="4B0B6A68"/>
    <w:rsid w:val="4CE05151"/>
    <w:rsid w:val="4D124E92"/>
    <w:rsid w:val="4D3062DC"/>
    <w:rsid w:val="4E7E0A6E"/>
    <w:rsid w:val="4E870640"/>
    <w:rsid w:val="4F224D64"/>
    <w:rsid w:val="4FD24CEA"/>
    <w:rsid w:val="50822DBF"/>
    <w:rsid w:val="50CE4ED2"/>
    <w:rsid w:val="5108643D"/>
    <w:rsid w:val="52F850C5"/>
    <w:rsid w:val="530530E6"/>
    <w:rsid w:val="530A79B9"/>
    <w:rsid w:val="53197680"/>
    <w:rsid w:val="53AB6CD4"/>
    <w:rsid w:val="53EB5E7B"/>
    <w:rsid w:val="55DC4D1F"/>
    <w:rsid w:val="56B04601"/>
    <w:rsid w:val="56D22BEA"/>
    <w:rsid w:val="57E7537F"/>
    <w:rsid w:val="58696D6D"/>
    <w:rsid w:val="592B3C4A"/>
    <w:rsid w:val="59481516"/>
    <w:rsid w:val="59E11C0C"/>
    <w:rsid w:val="59EF7B28"/>
    <w:rsid w:val="5A9304C2"/>
    <w:rsid w:val="5BA109F2"/>
    <w:rsid w:val="5CAC6EDF"/>
    <w:rsid w:val="5F714626"/>
    <w:rsid w:val="5FE27BD2"/>
    <w:rsid w:val="61083ED9"/>
    <w:rsid w:val="613646AF"/>
    <w:rsid w:val="61980449"/>
    <w:rsid w:val="61F20E84"/>
    <w:rsid w:val="62344DD4"/>
    <w:rsid w:val="623B49B4"/>
    <w:rsid w:val="626F7BDE"/>
    <w:rsid w:val="630B7BEC"/>
    <w:rsid w:val="63AB0FD4"/>
    <w:rsid w:val="642108B2"/>
    <w:rsid w:val="66794A10"/>
    <w:rsid w:val="676905E0"/>
    <w:rsid w:val="67BB7A95"/>
    <w:rsid w:val="680A5068"/>
    <w:rsid w:val="684910F1"/>
    <w:rsid w:val="686C04E7"/>
    <w:rsid w:val="68A50AD6"/>
    <w:rsid w:val="6A192187"/>
    <w:rsid w:val="6B9A2C2A"/>
    <w:rsid w:val="6BC23D94"/>
    <w:rsid w:val="6C1F0EC3"/>
    <w:rsid w:val="6C7C0332"/>
    <w:rsid w:val="6D4713C4"/>
    <w:rsid w:val="6DAA7416"/>
    <w:rsid w:val="6DD13586"/>
    <w:rsid w:val="6EF269D8"/>
    <w:rsid w:val="6FB82B58"/>
    <w:rsid w:val="6FE8250B"/>
    <w:rsid w:val="70E13317"/>
    <w:rsid w:val="70EA70C7"/>
    <w:rsid w:val="71006EFB"/>
    <w:rsid w:val="725C00DB"/>
    <w:rsid w:val="72811A1E"/>
    <w:rsid w:val="72FB5467"/>
    <w:rsid w:val="73242065"/>
    <w:rsid w:val="73762DC0"/>
    <w:rsid w:val="73933F2D"/>
    <w:rsid w:val="778608D1"/>
    <w:rsid w:val="779746CC"/>
    <w:rsid w:val="788539F3"/>
    <w:rsid w:val="78875AF4"/>
    <w:rsid w:val="7A914819"/>
    <w:rsid w:val="7D082130"/>
    <w:rsid w:val="7D6D4968"/>
    <w:rsid w:val="7DDA5AD2"/>
    <w:rsid w:val="7E325E0B"/>
    <w:rsid w:val="7F186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5">
    <w:name w:val="Strong"/>
    <w:basedOn w:val="4"/>
    <w:qFormat/>
    <w:uiPriority w:val="22"/>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8359</Words>
  <Characters>9224</Characters>
  <Lines>16</Lines>
  <Paragraphs>4</Paragraphs>
  <TotalTime>11</TotalTime>
  <ScaleCrop>false</ScaleCrop>
  <LinksUpToDate>false</LinksUpToDate>
  <CharactersWithSpaces>9318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2022-01-14T02:39:00Z</dcterms:created>
  <dc:creator>余程</dc:creator>
  <cp:lastModifiedBy>Administrator</cp:lastModifiedBy>
  <cp:lastPrinted>2022-09-27T03:22:00Z</cp:lastPrinted>
  <dcterms:modified xsi:type="dcterms:W3CDTF">2022-10-08T02:34:01Z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7C473A8BA2224D179FDE3E9930D6B849</vt:lpwstr>
  </property>
</Properties>
</file>