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ind w:left="0" w:leftChars="0" w:firstLine="0" w:firstLineChars="0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bookmarkStart w:id="0" w:name="_Hlk56544414"/>
    </w:p>
    <w:p>
      <w:pPr>
        <w:pStyle w:val="5"/>
        <w:spacing w:after="0" w:line="7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进口贸易促进创新示范区建设</w:t>
      </w:r>
    </w:p>
    <w:p>
      <w:pPr>
        <w:pStyle w:val="5"/>
        <w:spacing w:after="156" w:afterLines="50" w:line="700" w:lineRule="exact"/>
        <w:ind w:left="0" w:leftChars="0" w:firstLine="0" w:firstLineChars="0"/>
        <w:jc w:val="center"/>
        <w:rPr>
          <w:rFonts w:ascii="仿宋_GB2312" w:eastAsia="仿宋_GB2312"/>
          <w:color w:val="00000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sz w:val="44"/>
          <w:szCs w:val="44"/>
          <w:shd w:val="clear" w:color="auto" w:fill="FFFFFF"/>
        </w:rPr>
        <w:t>改革事项清单</w:t>
      </w:r>
      <w:bookmarkEnd w:id="1"/>
    </w:p>
    <w:tbl>
      <w:tblPr>
        <w:tblStyle w:val="6"/>
        <w:tblW w:w="95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  <w:gridCol w:w="342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  <w:t>改革举措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探索物理围网与数字监管相结合的新型监管模式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▲义乌海关、商城集团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推行“一次备案、多次使用”</w:t>
            </w:r>
            <w:r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组建进口集团，建立进口商品自营+合作分销体系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6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研究供应链金融产品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▲金融办、商城集团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6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在枢纽国家、区域设立若干海外集货仓，推进公铁联运，解决集货仓到加载站的驳运问题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▲商城集团、陆港集团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6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开展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新零售业务，创新构建“直播+社群”销售体系，完善跨境电商零售进口退货处理机制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▲市场发展委、商城集团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6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研究完善综合保税区税收政策，先行试行加工增值税收政策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▲税务局、▲义乌海关、财政局、集聚区管委会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9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  <w:t>建立商品品质溯源机制，实现商品从原产国进口到国内销售全过程的溯源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▲商城集团、市场监管局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9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海关特殊监管区内企业可在自贸试验区内开展保税展示交易业务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9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研究推行统一担保业务模式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▲商务局、金融办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9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推行进口货物预检验制度和“先出区、后报关”便利举措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9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探索免税市场，发展保税、免税、完税为一体的新业态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▲商城集团、财政局、税务局、商务局、市场发展委、义乌海关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开展“保税和免税相衔接”“跨境零售+线下自提”旅游新零售模式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▲商城集团、义乌海关、文广旅体局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设立进口市场葡语系国家展销中心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创新办会体制机制，提高展会规格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▲商务局、商城集团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创新进口市场和进口博览会便利化通关、展览监管措施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商务局、市场发展委、义乌海关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开展跨国公司跨境资金集中运营管理试点，提升跨境贸易与投融资便利性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人民银行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完善保税艺术品拍卖等文化贸易监管政策，创新保税拍卖服务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▲文广旅体局、义乌海关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建立海外中小企业信息库，提供海外创牌、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OEM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代工业务对接服务，推动海外成品终端加工前置至义乌进口市场，打造进口产业供应链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商城集团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FF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在国内其他综保区设立进口分拨仓，实施海关特殊监管区域间保税货物流转监管模式，实现保税区账册互转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▲商城集团、集聚区、义乌海关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创新口岸检疫审批保税转关模式，开展冰鲜水产品、水果等指定口岸进口保税业务，实现入境水产品“统一申报、集中查验、分批核放”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商城集团、义乌海关、陆港集团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探索“一仓多功能、一仓多形态”仓储模式，探索保税与非保税货物同仓存储、进口与出口同仓调拨、小额交易与大宗贸易同仓交割、内贸与外贸同仓一体运作，推行仓储货物按状态分类监管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商城集团、▲陆港集团、义乌海关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FF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研究适应境外投资和离岸业务发展的税收政策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税务局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trike/>
                <w:color w:val="5B9BD5"/>
                <w:spacing w:val="-6"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提升检测能力，共同承担相关检测工作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市场监管局、义乌海关、商务局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推行分线监督管理制度、期货保税交割监管制度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推行境内外维修海关监管制度、入境维修产品监管新模式，推行委内加工监管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推行融资租赁海关监管制度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推行海关特殊监管区域“四自一简”监管创新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80" w:type="dxa"/>
            <w:shd w:val="clear" w:color="auto" w:fill="auto"/>
            <w:noWrap w:val="0"/>
            <w:tcMar>
              <w:top w:w="30" w:type="dxa"/>
              <w:bottom w:w="3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支持发展大宗商品现货保税交易，创新发展进口粮食贸易，建设进口粮食保税储存中转基地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</w:rPr>
              <w:t>▲商城集团、▲市场集团、陆港集团、义乌海关</w:t>
            </w:r>
          </w:p>
        </w:tc>
        <w:tc>
          <w:tcPr>
            <w:tcW w:w="1580" w:type="dxa"/>
            <w:shd w:val="clear" w:color="auto" w:fill="auto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2021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12</w:t>
            </w:r>
            <w:r>
              <w:rPr>
                <w:rFonts w:hAnsi="仿宋_GB2312" w:eastAsia="仿宋_GB2312"/>
                <w:color w:val="000000"/>
                <w:spacing w:val="-6"/>
                <w:kern w:val="0"/>
                <w:sz w:val="24"/>
              </w:rPr>
              <w:t>月</w:t>
            </w:r>
          </w:p>
        </w:tc>
      </w:tr>
      <w:bookmarkEnd w:id="0"/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58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9205" w:y="-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bdr w:val="single" w:color="auto" w:sz="6" w:space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455C7"/>
    <w:rsid w:val="6F8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120" w:line="240" w:lineRule="auto"/>
      <w:ind w:left="420" w:leftChars="200" w:firstLine="420" w:firstLineChars="200"/>
    </w:pPr>
    <w:rPr>
      <w:rFonts w:eastAsia="宋体"/>
      <w:spacing w:val="0"/>
      <w:sz w:val="21"/>
      <w:szCs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2021-02-24T08:39:00Z</dcterms:created>
  <dc:creator>冰琦</dc:creator>
  <cp:lastModifiedBy>冰琦</cp:lastModifiedBy>
  <dcterms:modified xsi:type="dcterms:W3CDTF">2021-02-24T08:40:28Z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