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仿宋_GB2312"/>
          <w:color w:val="000000"/>
          <w:spacing w:val="20"/>
          <w:sz w:val="44"/>
          <w:szCs w:val="44"/>
          <w:lang w:val="en-US" w:eastAsia="zh-CN"/>
        </w:rPr>
      </w:pPr>
      <w:r>
        <w:rPr>
          <w:rFonts w:eastAsia="方正小标宋简体"/>
          <w:color w:val="000000"/>
          <w:spacing w:val="20"/>
          <w:sz w:val="44"/>
          <w:szCs w:val="44"/>
          <w:lang w:val="en-US" w:eastAsia="zh-CN"/>
        </w:rPr>
        <w:t>保险业机构年度考核评分表</w:t>
      </w:r>
    </w:p>
    <w:p>
      <w:pPr>
        <w:spacing w:line="500" w:lineRule="exact"/>
        <w:jc w:val="both"/>
        <w:rPr>
          <w:rFonts w:hint="eastAsia" w:eastAsia="仿宋_GB2312"/>
          <w:spacing w:val="-6"/>
          <w:sz w:val="28"/>
          <w:lang w:val="en-US" w:eastAsia="zh-CN"/>
        </w:rPr>
      </w:pPr>
    </w:p>
    <w:tbl>
      <w:tblPr>
        <w:tblStyle w:val="2"/>
        <w:tblW w:w="14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07"/>
        <w:gridCol w:w="1438"/>
        <w:gridCol w:w="1245"/>
        <w:gridCol w:w="1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0" w:hRule="atLeast"/>
          <w:tblHeader/>
          <w:jc w:val="center"/>
        </w:trPr>
        <w:tc>
          <w:tcPr>
            <w:tcW w:w="707" w:type="dxa"/>
            <w:shd w:val="clear" w:color="auto" w:fill="auto"/>
            <w:noWrap w:val="0"/>
            <w:vAlign w:val="center"/>
          </w:tcPr>
          <w:p>
            <w:pPr>
              <w:widowControl/>
              <w:spacing w:line="320" w:lineRule="exact"/>
              <w:jc w:val="center"/>
              <w:rPr>
                <w:rFonts w:eastAsia="黑体"/>
                <w:color w:val="000000"/>
                <w:sz w:val="28"/>
                <w:szCs w:val="28"/>
                <w:lang w:val="en-US" w:eastAsia="zh-CN"/>
              </w:rPr>
            </w:pPr>
            <w:r>
              <w:rPr>
                <w:rFonts w:eastAsia="黑体"/>
                <w:color w:val="000000"/>
                <w:sz w:val="28"/>
                <w:szCs w:val="28"/>
                <w:lang w:val="en-US" w:eastAsia="zh-CN"/>
              </w:rPr>
              <w:t>序号</w:t>
            </w:r>
          </w:p>
        </w:tc>
        <w:tc>
          <w:tcPr>
            <w:tcW w:w="1438" w:type="dxa"/>
            <w:shd w:val="clear" w:color="auto" w:fill="auto"/>
            <w:noWrap w:val="0"/>
            <w:vAlign w:val="center"/>
          </w:tcPr>
          <w:p>
            <w:pPr>
              <w:widowControl/>
              <w:spacing w:line="320" w:lineRule="exact"/>
              <w:jc w:val="center"/>
              <w:rPr>
                <w:rFonts w:eastAsia="黑体"/>
                <w:color w:val="000000"/>
                <w:sz w:val="28"/>
                <w:szCs w:val="28"/>
                <w:lang w:val="en-US" w:eastAsia="zh-CN"/>
              </w:rPr>
            </w:pPr>
            <w:r>
              <w:rPr>
                <w:rFonts w:eastAsia="黑体"/>
                <w:color w:val="000000"/>
                <w:sz w:val="28"/>
                <w:szCs w:val="28"/>
                <w:lang w:val="en-US" w:eastAsia="zh-CN"/>
              </w:rPr>
              <w:t>考核项目</w:t>
            </w:r>
          </w:p>
        </w:tc>
        <w:tc>
          <w:tcPr>
            <w:tcW w:w="1245" w:type="dxa"/>
            <w:shd w:val="clear" w:color="auto" w:fill="auto"/>
            <w:noWrap w:val="0"/>
            <w:vAlign w:val="center"/>
          </w:tcPr>
          <w:p>
            <w:pPr>
              <w:widowControl/>
              <w:spacing w:line="320" w:lineRule="exact"/>
              <w:jc w:val="center"/>
              <w:rPr>
                <w:rFonts w:eastAsia="黑体"/>
                <w:color w:val="000000"/>
                <w:sz w:val="28"/>
                <w:szCs w:val="28"/>
                <w:lang w:val="en-US" w:eastAsia="zh-CN"/>
              </w:rPr>
            </w:pPr>
            <w:r>
              <w:rPr>
                <w:rFonts w:eastAsia="黑体"/>
                <w:color w:val="000000"/>
                <w:sz w:val="28"/>
                <w:szCs w:val="28"/>
                <w:lang w:val="en-US" w:eastAsia="zh-CN"/>
              </w:rPr>
              <w:t>考核分值</w:t>
            </w:r>
          </w:p>
        </w:tc>
        <w:tc>
          <w:tcPr>
            <w:tcW w:w="11324" w:type="dxa"/>
            <w:shd w:val="clear" w:color="auto" w:fill="auto"/>
            <w:noWrap w:val="0"/>
            <w:vAlign w:val="center"/>
          </w:tcPr>
          <w:p>
            <w:pPr>
              <w:widowControl/>
              <w:spacing w:line="320" w:lineRule="exact"/>
              <w:jc w:val="center"/>
              <w:rPr>
                <w:rFonts w:eastAsia="黑体"/>
                <w:color w:val="000000"/>
                <w:sz w:val="28"/>
                <w:szCs w:val="28"/>
                <w:lang w:val="en-US" w:eastAsia="zh-CN"/>
              </w:rPr>
            </w:pPr>
            <w:r>
              <w:rPr>
                <w:rFonts w:eastAsia="黑体"/>
                <w:color w:val="000000"/>
                <w:sz w:val="28"/>
                <w:szCs w:val="28"/>
                <w:lang w:val="en-US" w:eastAsia="zh-CN"/>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40" w:hRule="exact"/>
          <w:jc w:val="center"/>
        </w:trPr>
        <w:tc>
          <w:tcPr>
            <w:tcW w:w="707"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1</w:t>
            </w:r>
          </w:p>
        </w:tc>
        <w:tc>
          <w:tcPr>
            <w:tcW w:w="1438"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税收贡献</w:t>
            </w:r>
          </w:p>
        </w:tc>
        <w:tc>
          <w:tcPr>
            <w:tcW w:w="124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30</w:t>
            </w:r>
          </w:p>
        </w:tc>
        <w:tc>
          <w:tcPr>
            <w:tcW w:w="11324" w:type="dxa"/>
            <w:shd w:val="clear" w:color="auto" w:fill="auto"/>
            <w:noWrap w:val="0"/>
            <w:tcMar>
              <w:top w:w="20" w:type="dxa"/>
              <w:left w:w="57" w:type="dxa"/>
              <w:bottom w:w="20" w:type="dxa"/>
              <w:right w:w="57" w:type="dxa"/>
            </w:tcMar>
            <w:vAlign w:val="center"/>
          </w:tcPr>
          <w:p>
            <w:pPr>
              <w:widowControl/>
              <w:spacing w:line="320" w:lineRule="exact"/>
              <w:jc w:val="both"/>
              <w:rPr>
                <w:rFonts w:eastAsia="仿宋_GB2312"/>
                <w:color w:val="000000"/>
                <w:sz w:val="24"/>
                <w:lang w:val="en-US" w:eastAsia="zh-CN"/>
              </w:rPr>
            </w:pPr>
            <w:r>
              <w:rPr>
                <w:rFonts w:eastAsia="仿宋_GB2312"/>
                <w:color w:val="000000"/>
                <w:sz w:val="24"/>
                <w:lang w:val="en-US" w:eastAsia="zh-CN"/>
              </w:rPr>
              <w:t>对保险机构全年纳税额进行考核，纳税额最高的保险机构得满分，其他保险机构以最高纳税额为标准值，按比例相应计分。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40" w:hRule="exact"/>
          <w:jc w:val="center"/>
        </w:trPr>
        <w:tc>
          <w:tcPr>
            <w:tcW w:w="707"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2</w:t>
            </w:r>
          </w:p>
        </w:tc>
        <w:tc>
          <w:tcPr>
            <w:tcW w:w="1438"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保费增长</w:t>
            </w:r>
          </w:p>
        </w:tc>
        <w:tc>
          <w:tcPr>
            <w:tcW w:w="124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20</w:t>
            </w:r>
          </w:p>
        </w:tc>
        <w:tc>
          <w:tcPr>
            <w:tcW w:w="11324" w:type="dxa"/>
            <w:shd w:val="clear" w:color="auto" w:fill="auto"/>
            <w:noWrap w:val="0"/>
            <w:tcMar>
              <w:top w:w="20" w:type="dxa"/>
              <w:left w:w="57" w:type="dxa"/>
              <w:bottom w:w="20" w:type="dxa"/>
              <w:right w:w="57" w:type="dxa"/>
            </w:tcMar>
            <w:vAlign w:val="center"/>
          </w:tcPr>
          <w:p>
            <w:pPr>
              <w:widowControl/>
              <w:spacing w:line="320" w:lineRule="exact"/>
              <w:jc w:val="both"/>
              <w:rPr>
                <w:rFonts w:eastAsia="仿宋_GB2312"/>
                <w:sz w:val="24"/>
                <w:lang w:val="en-US" w:eastAsia="zh-CN"/>
              </w:rPr>
            </w:pPr>
            <w:r>
              <w:rPr>
                <w:rFonts w:eastAsia="仿宋_GB2312"/>
                <w:sz w:val="24"/>
                <w:lang w:val="en-US" w:eastAsia="zh-CN"/>
              </w:rPr>
              <w:t>11月末各保险公司保费增长达到10%，得基本分10分。高于10%的，在基本分基础上增长率每增加1%加1分，最高加10分；低于10%的，在基本分基础上增长率每减少1%扣1分，最多扣10分。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60" w:hRule="exact"/>
          <w:jc w:val="center"/>
        </w:trPr>
        <w:tc>
          <w:tcPr>
            <w:tcW w:w="707"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3</w:t>
            </w:r>
          </w:p>
        </w:tc>
        <w:tc>
          <w:tcPr>
            <w:tcW w:w="1438"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政保合作</w:t>
            </w:r>
          </w:p>
        </w:tc>
        <w:tc>
          <w:tcPr>
            <w:tcW w:w="124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10</w:t>
            </w:r>
          </w:p>
        </w:tc>
        <w:tc>
          <w:tcPr>
            <w:tcW w:w="11324" w:type="dxa"/>
            <w:shd w:val="clear" w:color="auto" w:fill="auto"/>
            <w:noWrap w:val="0"/>
            <w:tcMar>
              <w:top w:w="20" w:type="dxa"/>
              <w:left w:w="57" w:type="dxa"/>
              <w:bottom w:w="20" w:type="dxa"/>
              <w:right w:w="57" w:type="dxa"/>
            </w:tcMar>
            <w:vAlign w:val="center"/>
          </w:tcPr>
          <w:p>
            <w:pPr>
              <w:widowControl/>
              <w:spacing w:line="320" w:lineRule="exact"/>
              <w:jc w:val="both"/>
              <w:rPr>
                <w:rFonts w:eastAsia="仿宋_GB2312"/>
                <w:sz w:val="24"/>
                <w:lang w:val="en-US" w:eastAsia="zh-CN"/>
              </w:rPr>
            </w:pPr>
            <w:r>
              <w:rPr>
                <w:rFonts w:eastAsia="仿宋_GB2312"/>
                <w:sz w:val="24"/>
                <w:lang w:val="en-US" w:eastAsia="zh-CN"/>
              </w:rPr>
              <w:t>本年度在乡村振兴、健康养老、绿色环保、科技创新、社会治理等政保合作重点领域签订协议、保单的，每一项得2分，最多8分；政保项目总保费收入最高的得2分，其余按比例赋分。（以正式协议或保单为准）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40" w:hRule="exact"/>
          <w:jc w:val="center"/>
        </w:trPr>
        <w:tc>
          <w:tcPr>
            <w:tcW w:w="707"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4</w:t>
            </w:r>
          </w:p>
        </w:tc>
        <w:tc>
          <w:tcPr>
            <w:tcW w:w="1438"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赔款给付</w:t>
            </w:r>
          </w:p>
        </w:tc>
        <w:tc>
          <w:tcPr>
            <w:tcW w:w="124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10</w:t>
            </w:r>
          </w:p>
        </w:tc>
        <w:tc>
          <w:tcPr>
            <w:tcW w:w="11324" w:type="dxa"/>
            <w:shd w:val="clear" w:color="auto" w:fill="auto"/>
            <w:noWrap w:val="0"/>
            <w:tcMar>
              <w:top w:w="20" w:type="dxa"/>
              <w:left w:w="57" w:type="dxa"/>
              <w:bottom w:w="20" w:type="dxa"/>
              <w:right w:w="57" w:type="dxa"/>
            </w:tcMar>
            <w:vAlign w:val="center"/>
          </w:tcPr>
          <w:p>
            <w:pPr>
              <w:widowControl/>
              <w:spacing w:line="320" w:lineRule="exact"/>
              <w:jc w:val="both"/>
              <w:rPr>
                <w:rFonts w:eastAsia="仿宋_GB2312"/>
                <w:color w:val="000000"/>
                <w:sz w:val="24"/>
                <w:lang w:val="en-US" w:eastAsia="zh-CN"/>
              </w:rPr>
            </w:pPr>
            <w:r>
              <w:rPr>
                <w:rFonts w:eastAsia="仿宋_GB2312"/>
                <w:color w:val="000000"/>
                <w:sz w:val="24"/>
                <w:lang w:val="en-US" w:eastAsia="zh-CN"/>
              </w:rPr>
              <w:t>对保险机构全年赔款给付额进行考核，赔款给付额最多的保险机构得满分，其他保险机构以最高赔款给付额为标准值，按比例相应计分。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9" w:hRule="exact"/>
          <w:jc w:val="center"/>
        </w:trPr>
        <w:tc>
          <w:tcPr>
            <w:tcW w:w="707"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5</w:t>
            </w:r>
          </w:p>
        </w:tc>
        <w:tc>
          <w:tcPr>
            <w:tcW w:w="1438"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引进险资</w:t>
            </w:r>
          </w:p>
        </w:tc>
        <w:tc>
          <w:tcPr>
            <w:tcW w:w="124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10</w:t>
            </w:r>
          </w:p>
        </w:tc>
        <w:tc>
          <w:tcPr>
            <w:tcW w:w="11324" w:type="dxa"/>
            <w:shd w:val="clear" w:color="auto" w:fill="auto"/>
            <w:noWrap w:val="0"/>
            <w:tcMar>
              <w:top w:w="20" w:type="dxa"/>
              <w:left w:w="57" w:type="dxa"/>
              <w:bottom w:w="20" w:type="dxa"/>
              <w:right w:w="57" w:type="dxa"/>
            </w:tcMar>
            <w:vAlign w:val="center"/>
          </w:tcPr>
          <w:p>
            <w:pPr>
              <w:widowControl/>
              <w:spacing w:line="320" w:lineRule="exact"/>
              <w:jc w:val="both"/>
              <w:rPr>
                <w:rFonts w:eastAsia="仿宋_GB2312"/>
                <w:color w:val="000000"/>
                <w:sz w:val="24"/>
                <w:lang w:val="en-US" w:eastAsia="zh-CN"/>
              </w:rPr>
            </w:pPr>
            <w:r>
              <w:rPr>
                <w:rFonts w:eastAsia="仿宋_GB2312"/>
                <w:color w:val="000000"/>
                <w:sz w:val="24"/>
                <w:lang w:val="en-US" w:eastAsia="zh-CN"/>
              </w:rPr>
              <w:t>鼓励保险机构引进保险资金助力地方，每落地1亿元加1分，最高不超过10分。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28" w:hRule="exact"/>
          <w:jc w:val="center"/>
        </w:trPr>
        <w:tc>
          <w:tcPr>
            <w:tcW w:w="707"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6</w:t>
            </w:r>
          </w:p>
        </w:tc>
        <w:tc>
          <w:tcPr>
            <w:tcW w:w="1438"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改革创新</w:t>
            </w:r>
          </w:p>
        </w:tc>
        <w:tc>
          <w:tcPr>
            <w:tcW w:w="124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5</w:t>
            </w:r>
          </w:p>
        </w:tc>
        <w:tc>
          <w:tcPr>
            <w:tcW w:w="11324" w:type="dxa"/>
            <w:shd w:val="clear" w:color="auto" w:fill="auto"/>
            <w:noWrap w:val="0"/>
            <w:tcMar>
              <w:top w:w="20" w:type="dxa"/>
              <w:left w:w="57" w:type="dxa"/>
              <w:bottom w:w="20" w:type="dxa"/>
              <w:right w:w="57" w:type="dxa"/>
            </w:tcMar>
            <w:vAlign w:val="center"/>
          </w:tcPr>
          <w:p>
            <w:pPr>
              <w:widowControl/>
              <w:spacing w:line="320" w:lineRule="exact"/>
              <w:jc w:val="both"/>
              <w:rPr>
                <w:rFonts w:eastAsia="仿宋_GB2312"/>
                <w:color w:val="000000"/>
                <w:sz w:val="24"/>
                <w:lang w:val="en-US" w:eastAsia="zh-CN"/>
              </w:rPr>
            </w:pPr>
            <w:r>
              <w:rPr>
                <w:rFonts w:eastAsia="仿宋_GB2312"/>
                <w:sz w:val="24"/>
                <w:lang w:val="en-US" w:eastAsia="zh-CN"/>
              </w:rPr>
              <w:t>承接或落实金融改革年度工作和试点任务，</w:t>
            </w:r>
            <w:r>
              <w:rPr>
                <w:rFonts w:eastAsia="仿宋_GB2312"/>
                <w:sz w:val="24"/>
                <w:szCs w:val="28"/>
                <w:lang w:val="en-US" w:eastAsia="zh-CN"/>
              </w:rPr>
              <w:t>开展数字化改革，创新</w:t>
            </w:r>
            <w:r>
              <w:rPr>
                <w:rFonts w:eastAsia="仿宋_GB2312"/>
                <w:sz w:val="24"/>
                <w:lang w:val="en-US" w:eastAsia="zh-CN"/>
              </w:rPr>
              <w:t>产品和服务，</w:t>
            </w:r>
            <w:r>
              <w:rPr>
                <w:rFonts w:eastAsia="仿宋_GB2312"/>
                <w:sz w:val="24"/>
                <w:szCs w:val="28"/>
                <w:lang w:val="en-US" w:eastAsia="zh-CN"/>
              </w:rPr>
              <w:t>推动改革工作在金融领域延伸扩面，</w:t>
            </w:r>
            <w:r>
              <w:rPr>
                <w:rFonts w:eastAsia="仿宋_GB2312"/>
                <w:sz w:val="24"/>
                <w:lang w:val="en-US" w:eastAsia="zh-CN"/>
              </w:rPr>
              <w:t>成效显著被列为典型案例予以推广，</w:t>
            </w:r>
            <w:r>
              <w:rPr>
                <w:rFonts w:eastAsia="仿宋_GB2312"/>
                <w:sz w:val="24"/>
                <w:szCs w:val="28"/>
                <w:lang w:val="en-US" w:eastAsia="zh-CN"/>
              </w:rPr>
              <w:t>视情进行综合赋分。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68" w:hRule="exact"/>
          <w:jc w:val="center"/>
        </w:trPr>
        <w:tc>
          <w:tcPr>
            <w:tcW w:w="707"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7</w:t>
            </w:r>
          </w:p>
        </w:tc>
        <w:tc>
          <w:tcPr>
            <w:tcW w:w="1438"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信息数据</w:t>
            </w:r>
          </w:p>
        </w:tc>
        <w:tc>
          <w:tcPr>
            <w:tcW w:w="124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5</w:t>
            </w:r>
          </w:p>
        </w:tc>
        <w:tc>
          <w:tcPr>
            <w:tcW w:w="11324" w:type="dxa"/>
            <w:shd w:val="clear" w:color="auto" w:fill="auto"/>
            <w:noWrap w:val="0"/>
            <w:tcMar>
              <w:top w:w="20" w:type="dxa"/>
              <w:left w:w="57" w:type="dxa"/>
              <w:bottom w:w="20" w:type="dxa"/>
              <w:right w:w="57" w:type="dxa"/>
            </w:tcMar>
            <w:vAlign w:val="center"/>
          </w:tcPr>
          <w:p>
            <w:pPr>
              <w:widowControl/>
              <w:spacing w:line="320" w:lineRule="exact"/>
              <w:jc w:val="both"/>
              <w:rPr>
                <w:rFonts w:eastAsia="仿宋_GB2312"/>
                <w:color w:val="000000"/>
                <w:sz w:val="24"/>
                <w:lang w:val="en-US" w:eastAsia="zh-CN"/>
              </w:rPr>
            </w:pPr>
            <w:r>
              <w:rPr>
                <w:rFonts w:eastAsia="仿宋_GB2312"/>
                <w:sz w:val="24"/>
                <w:szCs w:val="28"/>
                <w:lang w:val="en-US" w:eastAsia="zh-CN"/>
              </w:rPr>
              <w:t>每月报送1篇动态信息，每季报送1篇深度信息，按时完成约稿、数据报送任务，得基准分3分，未完成的扣0.2分</w:t>
            </w:r>
            <w:r>
              <w:rPr>
                <w:rFonts w:hint="eastAsia" w:ascii="仿宋_GB2312" w:hAnsi="仿宋_GB2312" w:eastAsia="仿宋_GB2312" w:cs="仿宋_GB2312"/>
                <w:sz w:val="24"/>
                <w:szCs w:val="28"/>
                <w:lang w:val="en-US" w:eastAsia="zh-CN"/>
              </w:rPr>
              <w:t>/次</w:t>
            </w:r>
            <w:r>
              <w:rPr>
                <w:rFonts w:eastAsia="仿宋_GB2312"/>
                <w:sz w:val="24"/>
                <w:szCs w:val="28"/>
                <w:lang w:val="en-US" w:eastAsia="zh-CN"/>
              </w:rPr>
              <w:t>，扣完为止；信息被金融办采用，加0.1</w:t>
            </w:r>
            <w:r>
              <w:rPr>
                <w:rFonts w:hint="eastAsia" w:ascii="仿宋_GB2312" w:hAnsi="仿宋_GB2312" w:eastAsia="仿宋_GB2312" w:cs="仿宋_GB2312"/>
                <w:sz w:val="24"/>
                <w:szCs w:val="28"/>
                <w:lang w:val="en-US" w:eastAsia="zh-CN"/>
              </w:rPr>
              <w:t>分/</w:t>
            </w:r>
            <w:r>
              <w:rPr>
                <w:rFonts w:eastAsia="仿宋_GB2312"/>
                <w:sz w:val="24"/>
                <w:szCs w:val="28"/>
                <w:lang w:val="en-US" w:eastAsia="zh-CN"/>
              </w:rPr>
              <w:t>次，被两办或上级采用，加0.3</w:t>
            </w:r>
            <w:r>
              <w:rPr>
                <w:rFonts w:hint="eastAsia" w:ascii="仿宋_GB2312" w:hAnsi="仿宋_GB2312" w:eastAsia="仿宋_GB2312" w:cs="仿宋_GB2312"/>
                <w:sz w:val="24"/>
                <w:szCs w:val="28"/>
                <w:lang w:val="en-US" w:eastAsia="zh-CN"/>
              </w:rPr>
              <w:t>分/</w:t>
            </w:r>
            <w:r>
              <w:rPr>
                <w:rFonts w:eastAsia="仿宋_GB2312"/>
                <w:sz w:val="24"/>
                <w:szCs w:val="28"/>
                <w:lang w:val="en-US" w:eastAsia="zh-CN"/>
              </w:rPr>
              <w:t>次，最高加2分。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0" w:hRule="atLeast"/>
          <w:jc w:val="center"/>
        </w:trPr>
        <w:tc>
          <w:tcPr>
            <w:tcW w:w="707" w:type="dxa"/>
            <w:shd w:val="clear" w:color="auto" w:fill="auto"/>
            <w:noWrap w:val="0"/>
            <w:vAlign w:val="center"/>
          </w:tcPr>
          <w:p>
            <w:pPr>
              <w:widowControl/>
              <w:spacing w:line="320" w:lineRule="exact"/>
              <w:jc w:val="center"/>
              <w:rPr>
                <w:rFonts w:eastAsia="仿宋_GB2312"/>
                <w:sz w:val="24"/>
                <w:lang w:val="en-US" w:eastAsia="zh-CN"/>
              </w:rPr>
            </w:pPr>
            <w:r>
              <w:rPr>
                <w:rFonts w:eastAsia="仿宋_GB2312"/>
                <w:sz w:val="24"/>
                <w:lang w:val="en-US" w:eastAsia="zh-CN"/>
              </w:rPr>
              <w:t>8</w:t>
            </w:r>
          </w:p>
        </w:tc>
        <w:tc>
          <w:tcPr>
            <w:tcW w:w="1438"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党建工作</w:t>
            </w:r>
          </w:p>
        </w:tc>
        <w:tc>
          <w:tcPr>
            <w:tcW w:w="124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5</w:t>
            </w:r>
          </w:p>
        </w:tc>
        <w:tc>
          <w:tcPr>
            <w:tcW w:w="11324" w:type="dxa"/>
            <w:shd w:val="clear" w:color="auto" w:fill="auto"/>
            <w:noWrap w:val="0"/>
            <w:tcMar>
              <w:top w:w="20" w:type="dxa"/>
              <w:left w:w="57" w:type="dxa"/>
              <w:bottom w:w="20" w:type="dxa"/>
              <w:right w:w="57" w:type="dxa"/>
            </w:tcMar>
            <w:vAlign w:val="center"/>
          </w:tcPr>
          <w:p>
            <w:pPr>
              <w:widowControl/>
              <w:spacing w:line="320" w:lineRule="exact"/>
              <w:jc w:val="both"/>
              <w:rPr>
                <w:rFonts w:eastAsia="仿宋_GB2312"/>
                <w:color w:val="000000"/>
                <w:sz w:val="24"/>
                <w:lang w:val="en-US" w:eastAsia="zh-CN"/>
              </w:rPr>
            </w:pPr>
            <w:r>
              <w:rPr>
                <w:rFonts w:eastAsia="仿宋_GB2312"/>
                <w:sz w:val="24"/>
                <w:szCs w:val="28"/>
                <w:lang w:val="en-US" w:eastAsia="zh-CN"/>
              </w:rPr>
              <w:t>根据金融系统党建联盟工作成效和清廉金融服务工作情况进行综合赋分。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0" w:hRule="atLeast"/>
          <w:jc w:val="center"/>
        </w:trPr>
        <w:tc>
          <w:tcPr>
            <w:tcW w:w="707" w:type="dxa"/>
            <w:shd w:val="clear" w:color="auto" w:fill="auto"/>
            <w:noWrap w:val="0"/>
            <w:vAlign w:val="center"/>
          </w:tcPr>
          <w:p>
            <w:pPr>
              <w:widowControl/>
              <w:spacing w:line="320" w:lineRule="exact"/>
              <w:jc w:val="center"/>
              <w:rPr>
                <w:rFonts w:eastAsia="仿宋_GB2312"/>
                <w:sz w:val="24"/>
                <w:lang w:val="en-US" w:eastAsia="zh-CN"/>
              </w:rPr>
            </w:pPr>
            <w:r>
              <w:rPr>
                <w:rFonts w:eastAsia="仿宋_GB2312"/>
                <w:sz w:val="24"/>
                <w:lang w:val="en-US" w:eastAsia="zh-CN"/>
              </w:rPr>
              <w:t>9</w:t>
            </w:r>
          </w:p>
        </w:tc>
        <w:tc>
          <w:tcPr>
            <w:tcW w:w="1438" w:type="dxa"/>
            <w:shd w:val="clear" w:color="auto" w:fill="auto"/>
            <w:noWrap w:val="0"/>
            <w:vAlign w:val="center"/>
          </w:tcPr>
          <w:p>
            <w:pPr>
              <w:widowControl/>
              <w:spacing w:line="320" w:lineRule="exact"/>
              <w:jc w:val="center"/>
              <w:rPr>
                <w:rFonts w:eastAsia="仿宋_GB2312"/>
                <w:sz w:val="24"/>
                <w:lang w:val="en-US" w:eastAsia="zh-CN"/>
              </w:rPr>
            </w:pPr>
            <w:r>
              <w:rPr>
                <w:rFonts w:eastAsia="仿宋_GB2312"/>
                <w:sz w:val="24"/>
                <w:lang w:val="en-US" w:eastAsia="zh-CN"/>
              </w:rPr>
              <w:t>疫情防控</w:t>
            </w:r>
          </w:p>
        </w:tc>
        <w:tc>
          <w:tcPr>
            <w:tcW w:w="124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5</w:t>
            </w:r>
          </w:p>
        </w:tc>
        <w:tc>
          <w:tcPr>
            <w:tcW w:w="11324" w:type="dxa"/>
            <w:shd w:val="clear" w:color="auto" w:fill="auto"/>
            <w:noWrap w:val="0"/>
            <w:tcMar>
              <w:top w:w="20" w:type="dxa"/>
              <w:left w:w="57" w:type="dxa"/>
              <w:bottom w:w="20" w:type="dxa"/>
              <w:right w:w="57" w:type="dxa"/>
            </w:tcMar>
            <w:vAlign w:val="center"/>
          </w:tcPr>
          <w:p>
            <w:pPr>
              <w:widowControl/>
              <w:spacing w:line="320" w:lineRule="exact"/>
              <w:jc w:val="both"/>
              <w:rPr>
                <w:rFonts w:eastAsia="仿宋_GB2312"/>
                <w:sz w:val="24"/>
                <w:szCs w:val="28"/>
                <w:lang w:val="en-US" w:eastAsia="zh-CN"/>
              </w:rPr>
            </w:pPr>
            <w:r>
              <w:rPr>
                <w:rFonts w:eastAsia="仿宋_GB2312"/>
                <w:sz w:val="24"/>
                <w:szCs w:val="28"/>
                <w:lang w:val="en-US" w:eastAsia="zh-CN"/>
              </w:rPr>
              <w:t>根据疫情防控工作落实情况进行综合赋分。</w:t>
            </w:r>
          </w:p>
        </w:tc>
      </w:tr>
    </w:tbl>
    <w:p>
      <w:r>
        <w:rPr>
          <w:rFonts w:hint="eastAsia" w:eastAsia="仿宋_GB2312"/>
          <w:spacing w:val="-6"/>
          <w:sz w:val="28"/>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9240F85"/>
    <w:rsid w:val="19240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2022-12-15T02:22:00Z</dcterms:created>
  <dc:creator>龚秀娟</dc:creator>
  <cp:lastModifiedBy>龚秀娟</cp:lastModifiedBy>
  <dcterms:modified xsi:type="dcterms:W3CDTF">2022-12-15T02:22:55Z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00304E63106F4EF7BAAA9A495E1B43E5</vt:lpwstr>
  </property>
</Properties>
</file>