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700" w:lineRule="exact"/>
        <w:jc w:val="center"/>
        <w:rPr>
          <w:rStyle w:val="8"/>
          <w:rFonts w:hint="eastAsia" w:ascii="方正小标宋简体" w:eastAsia="方正小标宋简体"/>
          <w:spacing w:val="20"/>
          <w:sz w:val="44"/>
          <w:szCs w:val="44"/>
        </w:rPr>
      </w:pPr>
      <w:r>
        <w:rPr>
          <w:rStyle w:val="8"/>
          <w:rFonts w:hint="eastAsia" w:ascii="方正小标宋简体" w:eastAsia="方正小标宋简体"/>
          <w:spacing w:val="20"/>
          <w:sz w:val="44"/>
          <w:szCs w:val="44"/>
        </w:rPr>
        <w:t>义乌市“大综合一体化”行政执法改</w:t>
      </w:r>
      <w:r>
        <w:rPr>
          <w:rStyle w:val="8"/>
          <w:rFonts w:eastAsia="方正小标宋简体"/>
          <w:spacing w:val="20"/>
          <w:sz w:val="44"/>
          <w:szCs w:val="44"/>
        </w:rPr>
        <w:t>革</w:t>
      </w:r>
      <w:r>
        <w:rPr>
          <w:rStyle w:val="8"/>
          <w:rFonts w:ascii="Times New Roman" w:hAnsi="Times New Roman" w:eastAsia="方正小标宋简体" w:cs="Times New Roman"/>
          <w:spacing w:val="20"/>
          <w:sz w:val="44"/>
          <w:szCs w:val="44"/>
        </w:rPr>
        <w:t>2022</w:t>
      </w:r>
      <w:r>
        <w:rPr>
          <w:rStyle w:val="8"/>
          <w:rFonts w:hint="eastAsia" w:ascii="方正小标宋简体" w:eastAsia="方正小标宋简体"/>
          <w:spacing w:val="20"/>
          <w:sz w:val="44"/>
          <w:szCs w:val="44"/>
        </w:rPr>
        <w:t>年重点任务清单</w:t>
      </w:r>
    </w:p>
    <w:p>
      <w:pPr>
        <w:spacing w:line="590" w:lineRule="exact"/>
        <w:rPr>
          <w:rFonts w:hint="eastAsia" w:ascii="仿宋_GB2312" w:hAnsi="宋体" w:eastAsia="仿宋_GB2312"/>
          <w:spacing w:val="-6"/>
          <w:sz w:val="32"/>
        </w:rPr>
      </w:pPr>
    </w:p>
    <w:tbl>
      <w:tblPr>
        <w:tblStyle w:val="5"/>
        <w:tblW w:w="14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399"/>
        <w:gridCol w:w="6304"/>
        <w:gridCol w:w="3960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Style w:val="8"/>
                <w:rFonts w:hint="eastAsia" w:ascii="黑体" w:eastAsia="黑体"/>
                <w:sz w:val="28"/>
                <w:szCs w:val="28"/>
              </w:rPr>
            </w:pPr>
            <w:r>
              <w:rPr>
                <w:rStyle w:val="8"/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Style w:val="8"/>
                <w:rFonts w:hint="eastAsia" w:ascii="黑体" w:eastAsia="黑体"/>
                <w:sz w:val="28"/>
                <w:szCs w:val="28"/>
              </w:rPr>
            </w:pPr>
            <w:r>
              <w:rPr>
                <w:rStyle w:val="8"/>
                <w:rFonts w:hint="eastAsia" w:ascii="黑体" w:eastAsia="黑体"/>
                <w:sz w:val="28"/>
                <w:szCs w:val="28"/>
              </w:rPr>
              <w:t>工作项目</w:t>
            </w:r>
          </w:p>
        </w:tc>
        <w:tc>
          <w:tcPr>
            <w:tcW w:w="630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Style w:val="8"/>
                <w:rFonts w:hint="eastAsia" w:ascii="黑体" w:eastAsia="黑体"/>
                <w:sz w:val="28"/>
                <w:szCs w:val="28"/>
              </w:rPr>
            </w:pPr>
            <w:r>
              <w:rPr>
                <w:rStyle w:val="8"/>
                <w:rFonts w:hint="eastAsia" w:ascii="黑体" w:eastAsia="黑体"/>
                <w:sz w:val="28"/>
                <w:szCs w:val="28"/>
              </w:rPr>
              <w:t>具体措施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Style w:val="8"/>
                <w:rFonts w:hint="eastAsia" w:ascii="黑体" w:eastAsia="黑体"/>
                <w:sz w:val="28"/>
                <w:szCs w:val="28"/>
              </w:rPr>
            </w:pPr>
            <w:r>
              <w:rPr>
                <w:rStyle w:val="8"/>
                <w:rFonts w:hint="eastAsia" w:ascii="黑体" w:eastAsia="黑体"/>
                <w:sz w:val="28"/>
                <w:szCs w:val="28"/>
              </w:rPr>
              <w:t>责任单位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Style w:val="8"/>
                <w:rFonts w:hint="eastAsia" w:ascii="黑体" w:eastAsia="黑体"/>
                <w:sz w:val="28"/>
                <w:szCs w:val="28"/>
              </w:rPr>
            </w:pPr>
            <w:r>
              <w:rPr>
                <w:rStyle w:val="8"/>
                <w:rFonts w:hint="eastAsia" w:ascii="黑体" w:eastAsia="黑体"/>
                <w:sz w:val="28"/>
                <w:szCs w:val="28"/>
              </w:rPr>
              <w:t>时间要求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形成健全完善的“执法目录总清单+综合执法清单+专业执法清单”体系</w:t>
            </w:r>
          </w:p>
        </w:tc>
        <w:tc>
          <w:tcPr>
            <w:tcW w:w="630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both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理清权力清单，形成健全完善的执法目录总清单并动态调整,编制行政检查清单，确保所有行政检查、行政处罚实现网上运行。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bCs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编办、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综合执法办、</w:t>
            </w:r>
          </w:p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各行政执法单位、各镇街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</w:p>
        </w:tc>
        <w:tc>
          <w:tcPr>
            <w:tcW w:w="630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both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完成《金华综合行政执法扩展目录》事项划转工作。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bCs/>
                <w:spacing w:val="-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spacing w:val="-6"/>
                <w:lang w:bidi="ar"/>
              </w:rPr>
              <w:t>综合执法办、</w:t>
            </w:r>
          </w:p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spacing w:val="-6"/>
                <w:lang w:bidi="ar"/>
              </w:rPr>
              <w:t>涉及职权划转的业务主管部门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5月底前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Style w:val="8"/>
                <w:rFonts w:hint="eastAsia" w:ascii="仿宋_GB2312" w:eastAsia="仿宋_GB2312"/>
              </w:rPr>
            </w:pPr>
          </w:p>
        </w:tc>
        <w:tc>
          <w:tcPr>
            <w:tcW w:w="630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both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梳理形成《综合行政执法事项清单》和《职责边界清单》。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bCs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综合执法办、</w:t>
            </w:r>
          </w:p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各行政执法单位、各镇街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6月底前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Style w:val="8"/>
                <w:rFonts w:hint="eastAsia" w:ascii="仿宋_GB2312" w:eastAsia="仿宋_GB2312"/>
              </w:rPr>
            </w:pPr>
          </w:p>
        </w:tc>
        <w:tc>
          <w:tcPr>
            <w:tcW w:w="630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both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梳理形成专业执法事项清单，包含本部门的监管执法事项和其他部门整合划转的执法事项。</w:t>
            </w:r>
          </w:p>
        </w:tc>
        <w:tc>
          <w:tcPr>
            <w:tcW w:w="3960" w:type="dxa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spacing w:val="-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spacing w:val="-6"/>
                <w:lang w:bidi="ar"/>
              </w:rPr>
              <w:t>编办、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spacing w:val="-6"/>
                <w:lang w:bidi="ar"/>
              </w:rPr>
              <w:t>综合执法办、</w:t>
            </w:r>
          </w:p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spacing w:val="-6"/>
                <w:lang w:bidi="ar"/>
              </w:rPr>
            </w:pPr>
            <w:r>
              <w:rPr>
                <w:rFonts w:hint="eastAsia" w:ascii="仿宋_GB2312" w:eastAsia="仿宋_GB2312"/>
                <w:spacing w:val="-6"/>
                <w:lang w:bidi="ar"/>
              </w:rPr>
              <w:t>自规局、生态环境分局、交通局、</w:t>
            </w:r>
          </w:p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spacing w:val="-6"/>
                <w:lang w:bidi="ar"/>
              </w:rPr>
              <w:t>农业农村局、文广旅体局、卫健局、</w:t>
            </w:r>
          </w:p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spacing w:val="-6"/>
                <w:lang w:bidi="ar"/>
              </w:rPr>
              <w:t>应急管理局、市场监管局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6月底前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Style w:val="8"/>
                <w:rFonts w:hint="eastAsia" w:ascii="仿宋_GB2312" w:eastAsia="仿宋_GB2312"/>
              </w:rPr>
            </w:pPr>
          </w:p>
        </w:tc>
        <w:tc>
          <w:tcPr>
            <w:tcW w:w="630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both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梳理长期未发生的“零执法”事项，分类提出处理意见。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bCs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综合执法办、</w:t>
            </w:r>
          </w:p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各行政执法单位、各镇街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6月底前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Style w:val="8"/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形成健全完善的“执法目录总清单+综合执法清单+专业执法清单”体系</w:t>
            </w:r>
          </w:p>
        </w:tc>
        <w:tc>
          <w:tcPr>
            <w:tcW w:w="630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both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与综合行政执法单位对接，做好业务指导、培训等工作，并按照“谁审批谁监管、谁主管谁监管”的原则，继续履行好监管职责。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涉及职权划转的所有业务主管部门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</w:rPr>
              <w:t>7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Style w:val="8"/>
                <w:rFonts w:hint="eastAsia" w:ascii="仿宋_GB2312" w:eastAsia="仿宋_GB2312"/>
              </w:rPr>
            </w:pPr>
          </w:p>
        </w:tc>
        <w:tc>
          <w:tcPr>
            <w:tcW w:w="630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both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做好新划转行政处罚事项承接工作，尽快熟悉业务，积极履职。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行政执法局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5月底前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</w:rPr>
              <w:t>8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加强行政执法统筹协调指挥</w:t>
            </w:r>
          </w:p>
        </w:tc>
        <w:tc>
          <w:tcPr>
            <w:tcW w:w="630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both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强化统筹行政执法活动，落实行政执法统一协调指挥机构职责。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综合执法办、</w:t>
            </w:r>
            <w:r>
              <w:rPr>
                <w:rFonts w:hint="eastAsia" w:ascii="仿宋_GB2312" w:eastAsia="仿宋_GB2312"/>
                <w:lang w:bidi="ar"/>
              </w:rPr>
              <w:t>各镇街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8月底前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</w:rPr>
              <w:t>9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0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both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根据金华有关要求，明确综合执法办专门机构和人员配备，实行实体化运作。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编办、</w:t>
            </w:r>
            <w:r>
              <w:rPr>
                <w:rFonts w:hint="eastAsia" w:ascii="仿宋_GB2312" w:eastAsia="仿宋_GB2312"/>
                <w:lang w:bidi="ar"/>
              </w:rPr>
              <w:t>综合执法办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6月底前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建立健全</w:t>
            </w:r>
          </w:p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协同机制</w:t>
            </w:r>
          </w:p>
        </w:tc>
        <w:tc>
          <w:tcPr>
            <w:tcW w:w="630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both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指导建立部门间、县乡间常态化联合执法、应急配合、信息共享、材料移送等协作配合机制。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综合执法办、</w:t>
            </w:r>
            <w:r>
              <w:rPr>
                <w:rFonts w:hint="eastAsia" w:ascii="仿宋_GB2312" w:eastAsia="仿宋_GB2312"/>
                <w:lang w:bidi="ar"/>
              </w:rPr>
              <w:t>各有关单位、各镇街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lang w:bidi="ar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强化综合</w:t>
            </w:r>
          </w:p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集成监管</w:t>
            </w:r>
          </w:p>
        </w:tc>
        <w:tc>
          <w:tcPr>
            <w:tcW w:w="630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lang w:bidi="ar"/>
              </w:rPr>
              <w:t>推进执法监管“一件事”，在省权力事项库（监管库）完成主题认领和应用场景配置工作</w:t>
            </w:r>
            <w:r>
              <w:rPr>
                <w:rFonts w:hint="eastAsia" w:ascii="仿宋_GB2312" w:eastAsia="仿宋_GB2312"/>
                <w:lang w:bidi="ar"/>
              </w:rPr>
              <w:t>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综合执法办、</w:t>
            </w:r>
            <w:r>
              <w:rPr>
                <w:rFonts w:hint="eastAsia" w:ascii="仿宋_GB2312" w:eastAsia="仿宋_GB2312"/>
                <w:lang w:bidi="ar"/>
              </w:rPr>
              <w:t>各有关单位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hint="eastAsia" w:eastAsia="仿宋_GB2312"/>
                <w:lang w:bidi="ar"/>
              </w:rPr>
            </w:pPr>
            <w:r>
              <w:rPr>
                <w:rFonts w:hint="eastAsia" w:eastAsia="仿宋_GB2312"/>
                <w:lang w:bidi="ar"/>
              </w:rPr>
              <w:t>根据省统一部署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0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both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全面推行“综合查一次”，综合运用“双随机、一公开”等方法，实现“进一次门、查多项事、一次到位”，减少重复执法和执法扰企扰民。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综合执法办、</w:t>
            </w:r>
            <w:r>
              <w:rPr>
                <w:rFonts w:hint="eastAsia" w:ascii="仿宋_GB2312" w:eastAsia="仿宋_GB2312"/>
                <w:lang w:bidi="ar"/>
              </w:rPr>
              <w:t>市场监管局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0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both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加大疫苗、食品药品、特种设备、危化品、交通运输、生态环境、教育培训等重点领域执法力度，实行全主体、全品种、全链条的严格监管。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卫健局、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市场监管局、</w:t>
            </w:r>
          </w:p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应急管理局、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交通局、</w:t>
            </w:r>
          </w:p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生态环境分局、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教育局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强化综合</w:t>
            </w:r>
          </w:p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集成监管</w:t>
            </w:r>
          </w:p>
        </w:tc>
        <w:tc>
          <w:tcPr>
            <w:tcW w:w="630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both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健全以信用为基础的新型监管机制，构建信用评价模型，拓展“信用+执法监管”应用场景，实施信用分级分类精准监管。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bCs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市场监管局、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金融办、</w:t>
            </w:r>
          </w:p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各有关单位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6月底前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</w:p>
        </w:tc>
        <w:tc>
          <w:tcPr>
            <w:tcW w:w="6304" w:type="dxa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both"/>
              <w:rPr>
                <w:rFonts w:hint="eastAsia" w:ascii="仿宋_GB2312" w:eastAsia="仿宋_GB2312"/>
                <w:spacing w:val="-6"/>
                <w:lang w:bidi="ar"/>
              </w:rPr>
            </w:pPr>
            <w:r>
              <w:rPr>
                <w:rFonts w:hint="eastAsia" w:ascii="仿宋_GB2312" w:eastAsia="仿宋_GB2312"/>
                <w:spacing w:val="-6"/>
                <w:lang w:bidi="ar"/>
              </w:rPr>
              <w:t>探索新产业新业态包容审慎监管，促进平台经济等健康发展。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市场监管局、</w:t>
            </w:r>
            <w:r>
              <w:rPr>
                <w:rFonts w:hint="eastAsia" w:ascii="仿宋_GB2312" w:eastAsia="仿宋_GB2312"/>
                <w:lang w:bidi="ar"/>
              </w:rPr>
              <w:t>各有关单位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16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精简专业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执法队伍</w:t>
            </w:r>
          </w:p>
        </w:tc>
        <w:tc>
          <w:tcPr>
            <w:tcW w:w="630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bidi="ar"/>
              </w:rPr>
              <w:t>按照“</w:t>
            </w:r>
            <w:r>
              <w:rPr>
                <w:rFonts w:eastAsia="仿宋_GB2312"/>
                <w:lang w:bidi="ar"/>
              </w:rPr>
              <w:t>1</w:t>
            </w:r>
            <w:r>
              <w:rPr>
                <w:rFonts w:hint="eastAsia" w:ascii="仿宋_GB2312" w:eastAsia="仿宋_GB2312"/>
                <w:lang w:bidi="ar"/>
              </w:rPr>
              <w:t>+</w:t>
            </w:r>
            <w:r>
              <w:rPr>
                <w:rFonts w:eastAsia="仿宋_GB2312"/>
                <w:lang w:bidi="ar"/>
              </w:rPr>
              <w:t>8</w:t>
            </w:r>
            <w:r>
              <w:rPr>
                <w:rFonts w:hint="eastAsia" w:ascii="仿宋_GB2312" w:eastAsia="仿宋_GB2312"/>
                <w:lang w:bidi="ar"/>
              </w:rPr>
              <w:t>”要求大力整合现有专业执法队伍，加快推进职责整合和编制划转，确保“编随事走，人随编走”。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编办、</w:t>
            </w:r>
            <w:r>
              <w:rPr>
                <w:rFonts w:hint="eastAsia" w:ascii="仿宋_GB2312" w:eastAsia="仿宋_GB2312"/>
                <w:lang w:bidi="ar"/>
              </w:rPr>
              <w:t>行政执法局、自规局、</w:t>
            </w:r>
          </w:p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生态环境分局、交通局、农业农村局、文广旅体局、卫健局、应急管理局、市场监管局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eastAsia="仿宋_GB2312"/>
                <w:lang w:bidi="ar"/>
              </w:rPr>
            </w:pPr>
            <w:r>
              <w:rPr>
                <w:rFonts w:hint="eastAsia" w:eastAsia="仿宋_GB2312"/>
                <w:lang w:bidi="ar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17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0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both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保留的部门专业领域执法队伍名称统一规范为“</w:t>
            </w:r>
            <w:r>
              <w:rPr>
                <w:rFonts w:eastAsia="仿宋_GB2312"/>
                <w:lang w:bidi="ar"/>
              </w:rPr>
              <w:t>XX</w:t>
            </w:r>
            <w:r>
              <w:rPr>
                <w:rFonts w:hint="eastAsia" w:ascii="仿宋_GB2312" w:eastAsia="仿宋_GB2312"/>
                <w:lang w:bidi="ar"/>
              </w:rPr>
              <w:t>（市、县、区）</w:t>
            </w:r>
            <w:r>
              <w:rPr>
                <w:rFonts w:eastAsia="仿宋_GB2312"/>
                <w:lang w:bidi="ar"/>
              </w:rPr>
              <w:t>XX</w:t>
            </w:r>
            <w:r>
              <w:rPr>
                <w:rFonts w:hint="eastAsia" w:ascii="仿宋_GB2312" w:eastAsia="仿宋_GB2312"/>
                <w:lang w:bidi="ar"/>
              </w:rPr>
              <w:t>（领域）行政执法队”。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编办、</w:t>
            </w:r>
            <w:r>
              <w:rPr>
                <w:rFonts w:hint="eastAsia" w:ascii="仿宋_GB2312" w:eastAsia="仿宋_GB2312"/>
                <w:lang w:bidi="ar"/>
              </w:rPr>
              <w:t>自规局、生态环境分局、</w:t>
            </w:r>
          </w:p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交通局、农业农村局、文广旅体局、卫健局、应急管理局、市场监管局</w:t>
            </w:r>
          </w:p>
        </w:tc>
        <w:tc>
          <w:tcPr>
            <w:tcW w:w="1336" w:type="dxa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eastAsia="仿宋_GB2312"/>
                <w:lang w:bidi="ar"/>
              </w:rPr>
            </w:pPr>
            <w:r>
              <w:rPr>
                <w:rFonts w:hint="eastAsia" w:eastAsia="仿宋_GB2312"/>
                <w:lang w:bidi="ar"/>
              </w:rPr>
              <w:t>已部署落实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</w:rPr>
              <w:t>18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下沉执法</w:t>
            </w:r>
          </w:p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pacing w:val="-6"/>
              </w:rPr>
              <w:t>权限和力量</w:t>
            </w:r>
          </w:p>
        </w:tc>
        <w:tc>
          <w:tcPr>
            <w:tcW w:w="630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both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分类制定《镇（街）综合行政执法事项目录》并开展赋权。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综合执法办、</w:t>
            </w:r>
            <w:r>
              <w:rPr>
                <w:rFonts w:hint="eastAsia" w:ascii="仿宋_GB2312" w:eastAsia="仿宋_GB2312"/>
                <w:lang w:bidi="ar"/>
              </w:rPr>
              <w:t>各镇街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6月底前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19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0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both"/>
              <w:rPr>
                <w:rStyle w:val="8"/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bidi="ar"/>
              </w:rPr>
              <w:t>指导推</w:t>
            </w:r>
            <w:r>
              <w:rPr>
                <w:rFonts w:eastAsia="仿宋_GB2312"/>
                <w:lang w:bidi="ar"/>
              </w:rPr>
              <w:t>动60%以</w:t>
            </w:r>
            <w:r>
              <w:rPr>
                <w:rFonts w:hint="eastAsia" w:ascii="仿宋_GB2312" w:eastAsia="仿宋_GB2312"/>
                <w:lang w:bidi="ar"/>
              </w:rPr>
              <w:t>上的行政执法力量向镇（街）集中下沉。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编办、</w:t>
            </w:r>
            <w:r>
              <w:rPr>
                <w:rFonts w:hint="eastAsia" w:ascii="仿宋_GB2312" w:eastAsia="仿宋_GB2312"/>
                <w:lang w:bidi="ar"/>
              </w:rPr>
              <w:t>各行政执法单位、各镇街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6月底前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20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0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both"/>
              <w:rPr>
                <w:rStyle w:val="8"/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bidi="ar"/>
              </w:rPr>
              <w:t>结合实际稳妥有序推进镇（街）“一支队伍管执法”，强化镇（街）对下沉执法力量的统筹指挥。制定出台派驻干部管理考核办法。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组织部、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编办、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综合执法办、</w:t>
            </w:r>
            <w:r>
              <w:rPr>
                <w:rFonts w:hint="eastAsia" w:ascii="仿宋_GB2312" w:eastAsia="仿宋_GB2312"/>
                <w:lang w:bidi="ar"/>
              </w:rPr>
              <w:t>各镇街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21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构建“大综合一体化”执法监管数字应用</w:t>
            </w:r>
          </w:p>
        </w:tc>
        <w:tc>
          <w:tcPr>
            <w:tcW w:w="630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both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在全省“大综合一体化”执法监管数字应用基础上做好增量开发，梳理明确特色应用模块并重点建设。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综合执法办、</w:t>
            </w:r>
            <w:r>
              <w:rPr>
                <w:rFonts w:hint="eastAsia" w:ascii="仿宋_GB2312" w:eastAsia="仿宋_GB2312"/>
                <w:lang w:bidi="ar"/>
              </w:rPr>
              <w:t>各有关单位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8月底前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</w:rPr>
              <w:t>22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0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both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做好网上证据库推广应用工作。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司法局、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综合执法办、</w:t>
            </w:r>
          </w:p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各有关单位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9月底前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23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0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both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推广应用行政执法监督信息系统，全面监督行政许可、行政确认、行政检查、行政处罚、行政强制等行为。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司法局、</w:t>
            </w:r>
            <w:r>
              <w:rPr>
                <w:rFonts w:hint="eastAsia" w:ascii="仿宋_GB2312" w:eastAsia="仿宋_GB2312"/>
                <w:lang w:bidi="ar"/>
              </w:rPr>
              <w:t>各行政执法单位、</w:t>
            </w:r>
          </w:p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数管中心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6月底前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24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0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both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统一数据标准，将行政检查、行政处罚等执法全流程要素，以及市县乡执法主体、执法人员全部纳入数字执法平台。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数管中心、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综合执法办、</w:t>
            </w:r>
          </w:p>
          <w:p>
            <w:pPr>
              <w:pStyle w:val="4"/>
              <w:widowControl/>
              <w:tabs>
                <w:tab w:val="center" w:pos="970"/>
                <w:tab w:val="right" w:pos="1821"/>
              </w:tabs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编办、司法局、市场监管局、</w:t>
            </w:r>
          </w:p>
          <w:p>
            <w:pPr>
              <w:pStyle w:val="4"/>
              <w:widowControl/>
              <w:tabs>
                <w:tab w:val="center" w:pos="970"/>
                <w:tab w:val="right" w:pos="1821"/>
              </w:tabs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各有关单位、各镇街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6月底前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25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0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both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加快推进两法衔接系统扩面应用，推动各处罚办案系统与行刑衔接系统的互联互通。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检察院、</w:t>
            </w:r>
            <w:r>
              <w:rPr>
                <w:rFonts w:hint="eastAsia" w:ascii="仿宋_GB2312" w:eastAsia="仿宋_GB2312"/>
                <w:lang w:bidi="ar"/>
              </w:rPr>
              <w:t>各有关单位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6月底前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26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</w:p>
        </w:tc>
        <w:tc>
          <w:tcPr>
            <w:tcW w:w="630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both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做好行政执法、行政复议、行政诉讼一体化应用推广工作。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法院、</w:t>
            </w:r>
            <w:r>
              <w:rPr>
                <w:rFonts w:hint="eastAsia" w:ascii="仿宋_GB2312" w:eastAsia="仿宋_GB2312"/>
                <w:lang w:bidi="ar"/>
              </w:rPr>
              <w:t>司法局、行政执法局、</w:t>
            </w:r>
          </w:p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各有关单位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7月底前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27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</w:p>
        </w:tc>
        <w:tc>
          <w:tcPr>
            <w:tcW w:w="630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both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建立健全数字化执法终端等装备标准及管理制度。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bCs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财政局、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综合执法办、</w:t>
            </w:r>
          </w:p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数管中心、各镇街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28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健全行政执法制度规范</w:t>
            </w:r>
          </w:p>
        </w:tc>
        <w:tc>
          <w:tcPr>
            <w:tcW w:w="630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both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贯彻落实《浙江省综合行政执法条例》。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bCs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司法局、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综合执法办、</w:t>
            </w:r>
          </w:p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各有关单位、各镇街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29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健全行政执法制度规范</w:t>
            </w:r>
          </w:p>
        </w:tc>
        <w:tc>
          <w:tcPr>
            <w:tcW w:w="630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both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细化量化裁量范围、种类和幅度，确保高频事项自由裁量基准细化率达到</w:t>
            </w:r>
            <w:r>
              <w:rPr>
                <w:rFonts w:eastAsia="仿宋_GB2312"/>
                <w:lang w:bidi="ar"/>
              </w:rPr>
              <w:t>100%</w:t>
            </w:r>
            <w:r>
              <w:rPr>
                <w:rFonts w:hint="eastAsia" w:ascii="仿宋_GB2312" w:eastAsia="仿宋_GB2312"/>
                <w:lang w:bidi="ar"/>
              </w:rPr>
              <w:t>，研究制定具体化、标准化的不予处罚事项清单。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司法局、</w:t>
            </w:r>
            <w:r>
              <w:rPr>
                <w:rFonts w:hint="eastAsia" w:ascii="仿宋_GB2312" w:eastAsia="仿宋_GB2312"/>
                <w:lang w:bidi="ar"/>
              </w:rPr>
              <w:t>各有关单位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6月底前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30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04" w:type="dxa"/>
            <w:noWrap w:val="0"/>
            <w:vAlign w:val="center"/>
          </w:tcPr>
          <w:p>
            <w:pPr>
              <w:widowControl/>
              <w:tabs>
                <w:tab w:val="left" w:pos="762"/>
              </w:tabs>
              <w:spacing w:line="360" w:lineRule="exact"/>
              <w:rPr>
                <w:rFonts w:hint="eastAsia" w:ascii="仿宋_GB2312" w:eastAsia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bidi="ar"/>
              </w:rPr>
              <w:t>开展镇（街）法治化综合改革，推进基层合法性审查提质增效。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市委依法治市办（司法局）、</w:t>
            </w:r>
          </w:p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各镇街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</w:rPr>
              <w:t>31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04" w:type="dxa"/>
            <w:noWrap w:val="0"/>
            <w:vAlign w:val="center"/>
          </w:tcPr>
          <w:p>
            <w:pPr>
              <w:widowControl/>
              <w:tabs>
                <w:tab w:val="left" w:pos="762"/>
              </w:tabs>
              <w:spacing w:line="360" w:lineRule="exact"/>
              <w:rPr>
                <w:rFonts w:hint="eastAsia" w:ascii="仿宋_GB2312" w:eastAsia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bidi="ar"/>
              </w:rPr>
              <w:t>配强镇（街）法制审核人员，制定出台镇（街）行政处罚法制审核工作方案。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编办、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司法局、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综合执法办、</w:t>
            </w:r>
            <w:r>
              <w:rPr>
                <w:rFonts w:hint="eastAsia" w:ascii="仿宋_GB2312" w:eastAsia="仿宋_GB2312"/>
                <w:lang w:bidi="ar"/>
              </w:rPr>
              <w:t>各镇街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6月底前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32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建立行政执法制约监督体系</w:t>
            </w:r>
          </w:p>
        </w:tc>
        <w:tc>
          <w:tcPr>
            <w:tcW w:w="630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both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做好行政执法领域公权力大数据监督多跨协同场景推广应用，行政执法权行使全流程在线运行、留痕可溯、监督预警，强化监督的再监督。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纪委、</w:t>
            </w:r>
            <w:r>
              <w:rPr>
                <w:rFonts w:hint="eastAsia" w:ascii="仿宋_GB2312" w:eastAsia="仿宋_GB2312"/>
                <w:lang w:bidi="ar"/>
              </w:rPr>
              <w:t>司法局、各有关单位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7月底前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33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0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both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完善行政执法评议制度及指标体系，开展执法制度、监管履职、执法质量、队伍建设、执法绩效等全方位评议。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司法局、</w:t>
            </w:r>
            <w:r>
              <w:rPr>
                <w:rFonts w:hint="eastAsia" w:ascii="仿宋_GB2312" w:eastAsia="仿宋_GB2312"/>
                <w:lang w:bidi="ar"/>
              </w:rPr>
              <w:t>各有关单位、各镇街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34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pStyle w:val="4"/>
              <w:snapToGrid w:val="0"/>
              <w:spacing w:line="3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推进执法队伍规范化建设</w:t>
            </w:r>
          </w:p>
        </w:tc>
        <w:tc>
          <w:tcPr>
            <w:tcW w:w="630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both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在压缩执法队伍现有人员编制规模的基础上，逐步规范执法队伍人员编制管理，全面清理规范执法辅助人员。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组织部、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编办、</w:t>
            </w:r>
            <w:r>
              <w:rPr>
                <w:rFonts w:hint="eastAsia" w:ascii="仿宋_GB2312" w:eastAsia="仿宋_GB2312"/>
                <w:lang w:bidi="ar"/>
              </w:rPr>
              <w:t>财政局、</w:t>
            </w:r>
          </w:p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人力社保局、各行政执法单位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35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04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bidi="ar"/>
              </w:rPr>
              <w:t>全面排摸执法队伍的机构数量、编制总量和人员情况，根据省里统一部署完成“参公暂缓认定”执法机构的重新认定工作。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组织部、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编办、</w:t>
            </w:r>
            <w:r>
              <w:rPr>
                <w:rFonts w:hint="eastAsia" w:ascii="仿宋_GB2312" w:eastAsia="仿宋_GB2312"/>
                <w:lang w:bidi="ar"/>
              </w:rPr>
              <w:t>各行政执法单位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根据省统一部署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36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04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bidi="ar"/>
              </w:rPr>
              <w:t>贯彻落实《关于实施行政执法类公务员分类管理的指导意见》，及时将改革到位、编制性质明确的执法队伍纳入行政执法类公务员管理，做好人员过渡、职级套转和晋升等工作。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组织部、</w:t>
            </w:r>
            <w:r>
              <w:rPr>
                <w:rFonts w:hint="eastAsia" w:ascii="仿宋_GB2312" w:eastAsia="仿宋_GB2312"/>
                <w:lang w:bidi="ar"/>
              </w:rPr>
              <w:t>各行政执法单位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36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8月底前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37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pStyle w:val="4"/>
              <w:snapToGrid w:val="0"/>
              <w:spacing w:line="3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推进执法队伍规范化建设</w:t>
            </w:r>
          </w:p>
        </w:tc>
        <w:tc>
          <w:tcPr>
            <w:tcW w:w="6304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bidi="ar"/>
              </w:rPr>
              <w:t>按照“老人老办法、新人新办法”原则，落实好相应管理措施，做实做细思想工作，逐步规范执法队伍人员身份。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组织部、</w:t>
            </w:r>
            <w:r>
              <w:rPr>
                <w:rFonts w:hint="eastAsia" w:ascii="仿宋_GB2312" w:eastAsia="仿宋_GB2312"/>
                <w:lang w:bidi="ar"/>
              </w:rPr>
              <w:t>各行政执法单位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38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04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bidi="ar"/>
              </w:rPr>
              <w:t>深化行政执法类公务员分类考录工作，加大基层一线执法队伍招录力度，及时补充新生力量。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组织部、</w:t>
            </w:r>
            <w:r>
              <w:rPr>
                <w:rFonts w:hint="eastAsia" w:ascii="仿宋_GB2312" w:eastAsia="仿宋_GB2312"/>
                <w:lang w:bidi="ar"/>
              </w:rPr>
              <w:t>各行政执法单位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39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04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bidi="ar"/>
              </w:rPr>
              <w:t>认真落实《行政执法类公务员培训办法》，专题研究综合行政执法人员教育培训工作，指导相关部门制定专项培训计划。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组织部、</w:t>
            </w:r>
            <w:r>
              <w:rPr>
                <w:rFonts w:hint="eastAsia" w:ascii="仿宋_GB2312" w:eastAsia="仿宋_GB2312"/>
                <w:lang w:bidi="ar"/>
              </w:rPr>
              <w:t>各行政执法单位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40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04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bidi="ar"/>
              </w:rPr>
              <w:t>开展全市综合行政执法人员第一轮业务培训。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bCs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组织部、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综合执法办、</w:t>
            </w:r>
          </w:p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各有关单位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6月底前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41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04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bidi="ar"/>
              </w:rPr>
              <w:t>建立相应激励保障机制，稳定基层执法队伍。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组织部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42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04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bidi="ar"/>
              </w:rPr>
              <w:t>行政执法经费列入同级财政预算，加大对综合执法必备的办公场所、执法车辆、执法装备、执法培训和数字化建设等方面的投入。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财政局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43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</w:rPr>
              <w:t>研究制定执法标准化体系</w:t>
            </w:r>
          </w:p>
        </w:tc>
        <w:tc>
          <w:tcPr>
            <w:tcW w:w="6304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bidi="ar"/>
              </w:rPr>
              <w:t>梳理、细化行政执法事项信息、基础数据、监管重点、裁量标准等，进一步统一执法流程、法律文书、执法要求和信息公开等规范，打造具有义乌特色的执法标准化体系。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综合执法办、</w:t>
            </w:r>
            <w:r>
              <w:rPr>
                <w:rFonts w:hint="eastAsia" w:ascii="仿宋_GB2312" w:eastAsia="仿宋_GB2312"/>
                <w:lang w:bidi="ar"/>
              </w:rPr>
              <w:t>市场监管局、</w:t>
            </w:r>
          </w:p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bCs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各有关单位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44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研究制定</w:t>
            </w:r>
          </w:p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</w:rPr>
              <w:t>改革指数</w:t>
            </w:r>
          </w:p>
        </w:tc>
        <w:tc>
          <w:tcPr>
            <w:tcW w:w="6304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bidi="ar"/>
              </w:rPr>
              <w:t>根据省制定的改革指数要求，抓好落实，争取我市改革指数走在全省前列。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综合执法办、</w:t>
            </w:r>
            <w:r>
              <w:rPr>
                <w:rFonts w:hint="eastAsia" w:ascii="仿宋_GB2312" w:eastAsia="仿宋_GB2312"/>
                <w:lang w:bidi="ar"/>
              </w:rPr>
              <w:t>各有关单位、各镇街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45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强化改革</w:t>
            </w:r>
          </w:p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</w:rPr>
              <w:t>督促落实</w:t>
            </w:r>
          </w:p>
        </w:tc>
        <w:tc>
          <w:tcPr>
            <w:tcW w:w="630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both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将改革推进情况纳入年度考评，统筹运用好督查、晾晒、评价、考核机制，强化跟踪问效。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纪委、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督考办、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▲</w:t>
            </w:r>
            <w:r>
              <w:rPr>
                <w:rFonts w:hint="eastAsia" w:ascii="仿宋_GB2312" w:eastAsia="仿宋_GB2312"/>
                <w:bCs/>
                <w:lang w:bidi="ar"/>
              </w:rPr>
              <w:t>综合执法办、</w:t>
            </w:r>
            <w:r>
              <w:rPr>
                <w:rFonts w:hint="eastAsia" w:ascii="仿宋_GB2312" w:eastAsia="仿宋_GB2312"/>
                <w:lang w:bidi="ar"/>
              </w:rPr>
              <w:t>各有关部门、各镇街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8月底前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46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抓好总结提升</w:t>
            </w:r>
          </w:p>
        </w:tc>
        <w:tc>
          <w:tcPr>
            <w:tcW w:w="6304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bidi="ar"/>
              </w:rPr>
              <w:t>及时总结基层最佳实践，加强改革理论研究，创新理论制度成果。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▲</w:t>
            </w:r>
            <w:r>
              <w:rPr>
                <w:rFonts w:hint="eastAsia" w:ascii="仿宋_GB2312" w:eastAsia="仿宋_GB2312"/>
                <w:bCs/>
                <w:kern w:val="0"/>
                <w:sz w:val="24"/>
                <w:lang w:bidi="ar"/>
              </w:rPr>
              <w:t>编办、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▲</w:t>
            </w:r>
            <w:r>
              <w:rPr>
                <w:rFonts w:hint="eastAsia" w:ascii="仿宋_GB2312" w:eastAsia="仿宋_GB2312"/>
                <w:bCs/>
                <w:kern w:val="0"/>
                <w:sz w:val="24"/>
                <w:lang w:bidi="ar"/>
              </w:rPr>
              <w:t>综合执法办、</w:t>
            </w:r>
          </w:p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各有关单位、各镇街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eastAsia="仿宋_GB2312"/>
                <w:lang w:bidi="ar"/>
              </w:rPr>
            </w:pPr>
            <w:r>
              <w:rPr>
                <w:rFonts w:eastAsia="仿宋_GB2312"/>
                <w:lang w:bidi="ar"/>
              </w:rPr>
              <w:t>10月底前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仿宋_GB2312" w:cs="Times New Roman"/>
                <w:sz w:val="24"/>
                <w:szCs w:val="24"/>
              </w:rPr>
              <w:t>47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04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bidi="ar"/>
              </w:rPr>
              <w:t>继续推进试点单位改革，提炼固化改革成果。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▲</w:t>
            </w:r>
            <w:r>
              <w:rPr>
                <w:rFonts w:hint="eastAsia" w:ascii="仿宋_GB2312" w:eastAsia="仿宋_GB2312"/>
                <w:bCs/>
                <w:kern w:val="0"/>
                <w:sz w:val="24"/>
                <w:lang w:bidi="ar"/>
              </w:rPr>
              <w:t>编办、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▲</w:t>
            </w:r>
            <w:r>
              <w:rPr>
                <w:rFonts w:hint="eastAsia" w:ascii="仿宋_GB2312" w:eastAsia="仿宋_GB2312"/>
                <w:bCs/>
                <w:kern w:val="0"/>
                <w:sz w:val="24"/>
                <w:lang w:bidi="ar"/>
              </w:rPr>
              <w:t>综合执法办、</w:t>
            </w:r>
          </w:p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相关镇街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bidi="ar"/>
              </w:rPr>
            </w:pPr>
            <w:r>
              <w:rPr>
                <w:rFonts w:hint="eastAsia" w:ascii="仿宋_GB2312" w:eastAsia="仿宋_GB2312"/>
                <w:lang w:bidi="ar"/>
              </w:rPr>
              <w:t>持续推进</w:t>
            </w:r>
          </w:p>
        </w:tc>
      </w:tr>
    </w:tbl>
    <w:p>
      <w:pPr>
        <w:pStyle w:val="4"/>
        <w:widowControl/>
        <w:snapToGrid w:val="0"/>
        <w:spacing w:line="360" w:lineRule="exact"/>
        <w:ind w:firstLine="420" w:firstLineChars="200"/>
        <w:jc w:val="both"/>
        <w:rPr>
          <w:rStyle w:val="8"/>
          <w:rFonts w:hint="eastAsia" w:eastAsia="仿宋_GB2312"/>
          <w:bCs/>
          <w:sz w:val="21"/>
          <w:szCs w:val="21"/>
        </w:rPr>
        <w:sectPr>
          <w:footerReference r:id="rId4" w:type="default"/>
          <w:headerReference r:id="rId3" w:type="even"/>
          <w:footerReference r:id="rId5" w:type="even"/>
          <w:pgSz w:w="16838" w:h="11906" w:orient="landscape"/>
          <w:pgMar w:top="1587" w:right="1134" w:bottom="1191" w:left="1134" w:header="851" w:footer="1134" w:gutter="0"/>
          <w:cols w:space="720" w:num="1"/>
          <w:docGrid w:type="lines" w:linePitch="319" w:charSpace="0"/>
        </w:sectPr>
      </w:pPr>
      <w:r>
        <w:rPr>
          <w:rStyle w:val="8"/>
          <w:rFonts w:hint="eastAsia" w:eastAsia="仿宋_GB2312"/>
          <w:bCs/>
          <w:sz w:val="21"/>
          <w:szCs w:val="21"/>
        </w:rPr>
        <w:t>备注：</w:t>
      </w:r>
      <w:r>
        <w:rPr>
          <w:rStyle w:val="8"/>
          <w:rFonts w:hint="eastAsia" w:ascii="仿宋_GB2312" w:eastAsia="仿宋_GB2312"/>
          <w:bCs/>
          <w:sz w:val="21"/>
          <w:szCs w:val="21"/>
        </w:rPr>
        <w:t>“责任单位”</w:t>
      </w:r>
      <w:r>
        <w:rPr>
          <w:rStyle w:val="8"/>
          <w:rFonts w:hint="eastAsia" w:eastAsia="仿宋_GB2312"/>
          <w:bCs/>
          <w:sz w:val="21"/>
          <w:szCs w:val="21"/>
        </w:rPr>
        <w:t>中带▲标记的为牵头单位。</w:t>
      </w:r>
    </w:p>
    <w:p>
      <w:bookmarkStart w:id="0" w:name="_GoBack"/>
      <w:bookmarkEnd w:id="0"/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SJ-PK74820000008-Identity-H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07" w:wrap="around" w:vAnchor="text" w:hAnchor="page" w:x="14455" w:y="-84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15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32" w:y="91"/>
      <w:rPr>
        <w:rStyle w:val="7"/>
        <w:rFonts w:ascii="宋体"/>
        <w:sz w:val="28"/>
        <w:szCs w:val="28"/>
      </w:rPr>
    </w:pPr>
    <w:r>
      <w:rPr>
        <w:rStyle w:val="7"/>
        <w:rFonts w:ascii="宋体" w:hAnsi="宋体" w:cs="宋体"/>
        <w:sz w:val="28"/>
        <w:szCs w:val="28"/>
      </w:rPr>
      <w:t xml:space="preserve">— </w:t>
    </w:r>
    <w:r>
      <w:rPr>
        <w:rStyle w:val="7"/>
        <w:rFonts w:ascii="宋体" w:hAnsi="宋体" w:cs="宋体"/>
        <w:sz w:val="28"/>
        <w:szCs w:val="28"/>
      </w:rPr>
      <w:fldChar w:fldCharType="begin"/>
    </w:r>
    <w:r>
      <w:rPr>
        <w:rStyle w:val="7"/>
        <w:rFonts w:ascii="宋体" w:hAnsi="宋体" w:cs="宋体"/>
        <w:sz w:val="28"/>
        <w:szCs w:val="28"/>
      </w:rPr>
      <w:instrText xml:space="preserve">PAGE  </w:instrText>
    </w:r>
    <w:r>
      <w:rPr>
        <w:rStyle w:val="7"/>
        <w:rFonts w:ascii="宋体" w:hAnsi="宋体" w:cs="宋体"/>
        <w:sz w:val="28"/>
        <w:szCs w:val="28"/>
      </w:rPr>
      <w:fldChar w:fldCharType="separate"/>
    </w:r>
    <w:r>
      <w:rPr>
        <w:rStyle w:val="7"/>
        <w:rFonts w:ascii="宋体" w:hAnsi="宋体" w:cs="宋体"/>
        <w:sz w:val="28"/>
        <w:szCs w:val="28"/>
      </w:rPr>
      <w:t>16</w:t>
    </w:r>
    <w:r>
      <w:rPr>
        <w:rStyle w:val="7"/>
        <w:rFonts w:ascii="宋体" w:hAnsi="宋体" w:cs="宋体"/>
        <w:sz w:val="28"/>
        <w:szCs w:val="28"/>
      </w:rPr>
      <w:fldChar w:fldCharType="end"/>
    </w:r>
    <w:r>
      <w:rPr>
        <w:rStyle w:val="7"/>
        <w:rFonts w:ascii="宋体" w:hAnsi="宋体" w:cs="宋体"/>
        <w:sz w:val="28"/>
        <w:szCs w:val="28"/>
      </w:rPr>
      <w:t xml:space="preserve"> —</w:t>
    </w:r>
  </w:p>
  <w:p>
    <w:pPr>
      <w:pStyle w:val="2"/>
      <w:rPr>
        <w:rStyle w:val="7"/>
        <w:rFonts w:hint="eastAsia" w:ascii="宋体"/>
        <w:sz w:val="28"/>
        <w:szCs w:val="28"/>
      </w:rPr>
    </w:pPr>
  </w:p>
  <w:p>
    <w:pPr>
      <w:pStyle w:val="2"/>
      <w:ind w:right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07" w:wrap="around" w:vAnchor="text" w:hAnchor="page" w:x="14455" w:y="-84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15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 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bdr w:val="single" w:color="auto" w:sz="6" w:space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2DD24FF2"/>
    <w:rsid w:val="0D3F0417"/>
    <w:rsid w:val="2DD2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jc w:val="left"/>
    </w:pPr>
    <w:rPr>
      <w:kern w:val="0"/>
      <w:sz w:val="24"/>
    </w:rPr>
  </w:style>
  <w:style w:type="character" w:styleId="7">
    <w:name w:val="page number"/>
    <w:basedOn w:val="6"/>
    <w:uiPriority w:val="0"/>
  </w:style>
  <w:style w:type="character" w:customStyle="1" w:styleId="8">
    <w:name w:val="fontstyle11"/>
    <w:qFormat/>
    <w:uiPriority w:val="0"/>
    <w:rPr>
      <w:rFonts w:ascii="FSJ-PK74820000008-Identity-H" w:hAnsi="FSJ-PK74820000008-Identity-H" w:eastAsia="FSJ-PK74820000008-Identity-H" w:cs="FSJ-PK74820000008-Identity-H"/>
      <w:color w:val="000000"/>
      <w:sz w:val="60"/>
      <w:szCs w:val="6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3242</Words>
  <Characters>3300</Characters>
  <Lines>0</Lines>
  <Paragraphs>0</Paragraphs>
  <TotalTime>0</TotalTime>
  <ScaleCrop>false</ScaleCrop>
  <LinksUpToDate>false</LinksUpToDate>
  <CharactersWithSpaces>3300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2022-06-11T01:16:00Z</dcterms:created>
  <dc:creator>龚秀娟</dc:creator>
  <cp:lastModifiedBy>龚秀娟</cp:lastModifiedBy>
  <dcterms:modified xsi:type="dcterms:W3CDTF">2022-06-11T03:36:19Z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A36FF93584D947C9A02888E2C9D1BD91</vt:lpwstr>
  </property>
</Properties>
</file>