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27" w:rsidRPr="00AE4104" w:rsidRDefault="008F5F27" w:rsidP="008F5F2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AE4104">
        <w:rPr>
          <w:b/>
          <w:sz w:val="44"/>
          <w:szCs w:val="44"/>
        </w:rPr>
        <w:t>关于</w:t>
      </w:r>
      <w:r w:rsidRPr="00AE4104">
        <w:rPr>
          <w:rFonts w:hint="eastAsia"/>
          <w:b/>
          <w:sz w:val="44"/>
          <w:szCs w:val="44"/>
        </w:rPr>
        <w:t>进一步促进</w:t>
      </w:r>
      <w:r w:rsidRPr="00AE4104">
        <w:rPr>
          <w:b/>
          <w:sz w:val="44"/>
          <w:szCs w:val="44"/>
        </w:rPr>
        <w:t>消费</w:t>
      </w:r>
      <w:r w:rsidRPr="00AE4104">
        <w:rPr>
          <w:rFonts w:hint="eastAsia"/>
          <w:b/>
          <w:sz w:val="44"/>
          <w:szCs w:val="44"/>
        </w:rPr>
        <w:t>增长建设区域消费</w:t>
      </w:r>
    </w:p>
    <w:p w:rsidR="00555182" w:rsidRPr="00AE4104" w:rsidRDefault="008F5F27" w:rsidP="008F5F2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E4104">
        <w:rPr>
          <w:rFonts w:hint="eastAsia"/>
          <w:b/>
          <w:sz w:val="44"/>
          <w:szCs w:val="44"/>
        </w:rPr>
        <w:t>中心城市</w:t>
      </w:r>
      <w:r w:rsidRPr="00AE4104">
        <w:rPr>
          <w:b/>
          <w:sz w:val="44"/>
          <w:szCs w:val="44"/>
        </w:rPr>
        <w:t>的</w:t>
      </w:r>
      <w:r w:rsidRPr="00AE4104">
        <w:rPr>
          <w:rFonts w:hint="eastAsia"/>
          <w:b/>
          <w:sz w:val="44"/>
          <w:szCs w:val="44"/>
        </w:rPr>
        <w:t>若干措施起草</w:t>
      </w:r>
      <w:r w:rsidR="000E613E" w:rsidRPr="00AE4104">
        <w:rPr>
          <w:rFonts w:asciiTheme="majorEastAsia" w:eastAsiaTheme="majorEastAsia" w:hAnsiTheme="majorEastAsia"/>
          <w:b/>
          <w:sz w:val="44"/>
          <w:szCs w:val="44"/>
        </w:rPr>
        <w:t>情况的说明</w:t>
      </w:r>
    </w:p>
    <w:p w:rsidR="000E613E" w:rsidRPr="00AE4104" w:rsidRDefault="000E613E" w:rsidP="000E613E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0E613E" w:rsidRPr="00AE4104" w:rsidRDefault="000E613E" w:rsidP="00CE571C">
      <w:pPr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 w:rsidRPr="00AE4104">
        <w:rPr>
          <w:rFonts w:ascii="仿宋_GB2312" w:eastAsia="仿宋_GB2312" w:hAnsi="微软雅黑" w:hint="eastAsia"/>
          <w:b/>
          <w:sz w:val="32"/>
          <w:szCs w:val="32"/>
        </w:rPr>
        <w:t>一、背景情况</w:t>
      </w:r>
    </w:p>
    <w:p w:rsidR="00CE571C" w:rsidRPr="00AE4104" w:rsidRDefault="00F65D53" w:rsidP="00CE571C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E4104">
        <w:rPr>
          <w:rFonts w:ascii="仿宋_GB2312" w:eastAsia="仿宋_GB2312" w:hAnsi="微软雅黑" w:hint="eastAsia"/>
          <w:sz w:val="32"/>
          <w:szCs w:val="32"/>
        </w:rPr>
        <w:t>我市现行</w:t>
      </w:r>
      <w:r w:rsidR="00CE571C" w:rsidRPr="00AE4104">
        <w:rPr>
          <w:rFonts w:ascii="仿宋_GB2312" w:eastAsia="仿宋_GB2312" w:hAnsi="微软雅黑" w:hint="eastAsia"/>
          <w:sz w:val="32"/>
          <w:szCs w:val="32"/>
        </w:rPr>
        <w:t>的《</w:t>
      </w:r>
      <w:r w:rsidR="00CE571C" w:rsidRPr="00AE4104">
        <w:rPr>
          <w:rFonts w:ascii="仿宋_GB2312" w:eastAsia="仿宋_GB2312" w:hAnsi="微软雅黑"/>
          <w:sz w:val="32"/>
          <w:szCs w:val="32"/>
        </w:rPr>
        <w:t>义乌市人民政府关于印发促进商贸业高质量发展的若干</w:t>
      </w:r>
      <w:r w:rsidR="00C0600B" w:rsidRPr="00AE4104">
        <w:rPr>
          <w:rFonts w:ascii="仿宋_GB2312" w:eastAsia="仿宋_GB2312" w:hAnsi="微软雅黑"/>
          <w:sz w:val="32"/>
          <w:szCs w:val="32"/>
        </w:rPr>
        <w:t>措施</w:t>
      </w:r>
      <w:r w:rsidR="00CE571C" w:rsidRPr="00AE4104">
        <w:rPr>
          <w:rFonts w:ascii="仿宋_GB2312" w:eastAsia="仿宋_GB2312" w:hAnsi="微软雅黑"/>
          <w:sz w:val="32"/>
          <w:szCs w:val="32"/>
        </w:rPr>
        <w:t>（试行）的通知</w:t>
      </w:r>
      <w:r w:rsidR="00CE571C" w:rsidRPr="00AE4104">
        <w:rPr>
          <w:rFonts w:ascii="仿宋_GB2312" w:eastAsia="仿宋_GB2312" w:hAnsi="微软雅黑" w:hint="eastAsia"/>
          <w:sz w:val="32"/>
          <w:szCs w:val="32"/>
        </w:rPr>
        <w:t>》（</w:t>
      </w:r>
      <w:bookmarkStart w:id="0" w:name="filecode"/>
      <w:proofErr w:type="gramStart"/>
      <w:r w:rsidR="00CE571C" w:rsidRPr="00AE4104">
        <w:rPr>
          <w:rFonts w:ascii="仿宋_GB2312" w:eastAsia="仿宋_GB2312" w:hint="eastAsia"/>
          <w:sz w:val="32"/>
          <w:szCs w:val="32"/>
        </w:rPr>
        <w:t>义政发</w:t>
      </w:r>
      <w:bookmarkEnd w:id="0"/>
      <w:proofErr w:type="gramEnd"/>
      <w:r w:rsidR="00CE571C" w:rsidRPr="00AE4104">
        <w:rPr>
          <w:rFonts w:ascii="仿宋_GB2312" w:eastAsia="仿宋_GB2312" w:hint="eastAsia"/>
          <w:sz w:val="32"/>
          <w:szCs w:val="32"/>
        </w:rPr>
        <w:t>〔</w:t>
      </w:r>
      <w:bookmarkStart w:id="1" w:name="fileyear"/>
      <w:r w:rsidR="00CE571C" w:rsidRPr="00AE4104">
        <w:rPr>
          <w:rFonts w:ascii="仿宋_GB2312" w:eastAsia="仿宋_GB2312"/>
          <w:sz w:val="32"/>
          <w:szCs w:val="32"/>
        </w:rPr>
        <w:t>2018</w:t>
      </w:r>
      <w:bookmarkEnd w:id="1"/>
      <w:r w:rsidR="00CE571C" w:rsidRPr="00AE4104">
        <w:rPr>
          <w:rFonts w:ascii="仿宋_GB2312" w:eastAsia="仿宋_GB2312" w:hint="eastAsia"/>
          <w:sz w:val="32"/>
          <w:szCs w:val="32"/>
        </w:rPr>
        <w:t>〕</w:t>
      </w:r>
      <w:bookmarkStart w:id="2" w:name="fileno"/>
      <w:r w:rsidR="00CE571C" w:rsidRPr="00AE4104">
        <w:rPr>
          <w:rFonts w:ascii="仿宋_GB2312" w:eastAsia="仿宋_GB2312"/>
          <w:sz w:val="32"/>
          <w:szCs w:val="32"/>
        </w:rPr>
        <w:t>57</w:t>
      </w:r>
      <w:bookmarkEnd w:id="2"/>
      <w:r w:rsidR="00CE571C" w:rsidRPr="00AE4104">
        <w:rPr>
          <w:rFonts w:ascii="仿宋_GB2312" w:eastAsia="仿宋_GB2312" w:hint="eastAsia"/>
          <w:sz w:val="32"/>
          <w:szCs w:val="32"/>
        </w:rPr>
        <w:t>号</w:t>
      </w:r>
      <w:r w:rsidR="00CE571C" w:rsidRPr="00AE4104">
        <w:rPr>
          <w:rFonts w:ascii="仿宋_GB2312" w:eastAsia="仿宋_GB2312" w:hAnsi="微软雅黑" w:hint="eastAsia"/>
          <w:sz w:val="32"/>
          <w:szCs w:val="32"/>
        </w:rPr>
        <w:t>）于2018年9月1日起施行，有效期至2021年12月31日止。</w:t>
      </w:r>
    </w:p>
    <w:p w:rsidR="00CE571C" w:rsidRPr="00AE4104" w:rsidRDefault="00CE571C" w:rsidP="00CE571C">
      <w:pPr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E4104">
        <w:rPr>
          <w:rFonts w:ascii="仿宋_GB2312" w:eastAsia="仿宋_GB2312" w:hAnsi="微软雅黑" w:hint="eastAsia"/>
          <w:sz w:val="32"/>
          <w:szCs w:val="32"/>
        </w:rPr>
        <w:t>根据《义乌市人民政府办公室关于印发</w:t>
      </w:r>
      <w:r w:rsidRPr="00AE4104">
        <w:rPr>
          <w:rFonts w:ascii="仿宋_GB2312" w:eastAsia="仿宋_GB2312" w:hAnsi="微软雅黑"/>
          <w:sz w:val="32"/>
          <w:szCs w:val="32"/>
        </w:rPr>
        <w:t>2021</w:t>
      </w:r>
      <w:r w:rsidRPr="00AE4104">
        <w:rPr>
          <w:rFonts w:ascii="仿宋_GB2312" w:eastAsia="仿宋_GB2312" w:hAnsi="微软雅黑" w:hint="eastAsia"/>
          <w:sz w:val="32"/>
          <w:szCs w:val="32"/>
        </w:rPr>
        <w:t>年度重大行政决策事项目录的通知》（</w:t>
      </w:r>
      <w:proofErr w:type="gramStart"/>
      <w:r w:rsidRPr="00AE4104">
        <w:rPr>
          <w:rFonts w:ascii="仿宋_GB2312" w:eastAsia="仿宋_GB2312" w:hAnsi="微软雅黑" w:hint="eastAsia"/>
          <w:sz w:val="32"/>
          <w:szCs w:val="32"/>
        </w:rPr>
        <w:t>义政办</w:t>
      </w:r>
      <w:proofErr w:type="gramEnd"/>
      <w:r w:rsidRPr="00AE4104">
        <w:rPr>
          <w:rFonts w:ascii="仿宋_GB2312" w:eastAsia="仿宋_GB2312" w:hAnsi="微软雅黑" w:hint="eastAsia"/>
          <w:sz w:val="32"/>
          <w:szCs w:val="32"/>
        </w:rPr>
        <w:t>发</w:t>
      </w:r>
      <w:r w:rsidRPr="00AE4104">
        <w:rPr>
          <w:rFonts w:ascii="仿宋_GB2312" w:eastAsia="仿宋_GB2312" w:hAnsi="微软雅黑"/>
          <w:sz w:val="32"/>
          <w:szCs w:val="32"/>
        </w:rPr>
        <w:t>〔2021〕18</w:t>
      </w:r>
      <w:r w:rsidRPr="00AE4104">
        <w:rPr>
          <w:rFonts w:ascii="仿宋_GB2312" w:eastAsia="仿宋_GB2312" w:hAnsi="微软雅黑" w:hint="eastAsia"/>
          <w:sz w:val="32"/>
          <w:szCs w:val="32"/>
        </w:rPr>
        <w:t>号）要求，《</w:t>
      </w:r>
      <w:r w:rsidRPr="00AE4104">
        <w:rPr>
          <w:rFonts w:ascii="仿宋_GB2312" w:eastAsia="仿宋_GB2312" w:hAnsi="微软雅黑"/>
          <w:sz w:val="32"/>
          <w:szCs w:val="32"/>
        </w:rPr>
        <w:t>促进商贸业高质量发展的若干</w:t>
      </w:r>
      <w:r w:rsidR="00C0600B" w:rsidRPr="00AE4104">
        <w:rPr>
          <w:rFonts w:ascii="仿宋_GB2312" w:eastAsia="仿宋_GB2312" w:hAnsi="微软雅黑"/>
          <w:sz w:val="32"/>
          <w:szCs w:val="32"/>
        </w:rPr>
        <w:t>措施</w:t>
      </w:r>
      <w:r w:rsidRPr="00AE4104">
        <w:rPr>
          <w:rFonts w:ascii="仿宋_GB2312" w:eastAsia="仿宋_GB2312" w:hAnsi="微软雅黑" w:hint="eastAsia"/>
          <w:sz w:val="32"/>
          <w:szCs w:val="32"/>
        </w:rPr>
        <w:t>》修订工作已被列为市政府2021年度重大行政决策事项，按照工作安排，我们围绕当前及未来一段时间内我市商贸业发展重点，借鉴国内先发地区经验，并结合现行政策执行情况，代拟了</w:t>
      </w:r>
      <w:r w:rsidR="008F5F27" w:rsidRPr="00AE4104">
        <w:rPr>
          <w:rFonts w:ascii="仿宋_GB2312" w:eastAsia="仿宋_GB2312" w:hAnsi="微软雅黑" w:hint="eastAsia"/>
          <w:sz w:val="32"/>
          <w:szCs w:val="32"/>
        </w:rPr>
        <w:t>文</w:t>
      </w:r>
      <w:r w:rsidRPr="00AE4104">
        <w:rPr>
          <w:rFonts w:ascii="仿宋_GB2312" w:eastAsia="仿宋_GB2312" w:hAnsi="微软雅黑" w:hint="eastAsia"/>
          <w:sz w:val="32"/>
          <w:szCs w:val="32"/>
        </w:rPr>
        <w:t>稿。</w:t>
      </w:r>
    </w:p>
    <w:p w:rsidR="000E613E" w:rsidRPr="00AE4104" w:rsidRDefault="000E613E" w:rsidP="000E613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4104">
        <w:rPr>
          <w:rFonts w:ascii="仿宋" w:eastAsia="仿宋" w:hAnsi="仿宋" w:hint="eastAsia"/>
          <w:b/>
          <w:sz w:val="32"/>
          <w:szCs w:val="32"/>
        </w:rPr>
        <w:t>二、主要内容</w:t>
      </w:r>
    </w:p>
    <w:p w:rsidR="00452585" w:rsidRPr="00AE4104" w:rsidRDefault="00C0600B" w:rsidP="004525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4104">
        <w:rPr>
          <w:rFonts w:ascii="仿宋" w:eastAsia="仿宋" w:hAnsi="仿宋" w:hint="eastAsia"/>
          <w:sz w:val="32"/>
          <w:szCs w:val="32"/>
        </w:rPr>
        <w:t>措施</w:t>
      </w:r>
      <w:r w:rsidR="00452585" w:rsidRPr="00AE4104">
        <w:rPr>
          <w:rFonts w:ascii="仿宋" w:eastAsia="仿宋" w:hAnsi="仿宋" w:hint="eastAsia"/>
          <w:sz w:val="32"/>
          <w:szCs w:val="32"/>
        </w:rPr>
        <w:t>初稿分为七个部分，共</w:t>
      </w:r>
      <w:r w:rsidR="008F5F27" w:rsidRPr="00AE4104">
        <w:rPr>
          <w:rFonts w:ascii="仿宋" w:eastAsia="仿宋" w:hAnsi="仿宋" w:hint="eastAsia"/>
          <w:sz w:val="32"/>
          <w:szCs w:val="32"/>
        </w:rPr>
        <w:t>16</w:t>
      </w:r>
      <w:r w:rsidR="00452585" w:rsidRPr="00AE4104">
        <w:rPr>
          <w:rFonts w:ascii="仿宋" w:eastAsia="仿宋" w:hAnsi="仿宋" w:hint="eastAsia"/>
          <w:sz w:val="32"/>
          <w:szCs w:val="32"/>
        </w:rPr>
        <w:t>条。</w:t>
      </w:r>
    </w:p>
    <w:p w:rsidR="008F5F27" w:rsidRPr="00AE4104" w:rsidRDefault="008F5F27" w:rsidP="008F5F27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AE4104">
        <w:rPr>
          <w:rFonts w:ascii="仿宋" w:eastAsia="仿宋" w:hAnsi="仿宋" w:hint="eastAsia"/>
          <w:b/>
          <w:sz w:val="32"/>
          <w:szCs w:val="32"/>
        </w:rPr>
        <w:t>第一部分，推动夜间经济发展。</w:t>
      </w:r>
      <w:r w:rsidRPr="00AE4104">
        <w:rPr>
          <w:rFonts w:ascii="仿宋" w:eastAsia="仿宋" w:hAnsi="仿宋" w:hint="eastAsia"/>
          <w:sz w:val="32"/>
          <w:szCs w:val="32"/>
        </w:rPr>
        <w:t>主要包括对列入</w:t>
      </w:r>
      <w:r w:rsidRPr="00AE4104">
        <w:rPr>
          <w:rFonts w:ascii="仿宋_GB2312" w:eastAsia="仿宋_GB2312" w:hint="eastAsia"/>
          <w:spacing w:val="-6"/>
          <w:sz w:val="32"/>
          <w:szCs w:val="32"/>
        </w:rPr>
        <w:t>国家级、省级高品质步行街建设试点的奖励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和对“市级夜间经济示范街区和示范点”的奖励两部分内容，通过打造有效平台，促进我市夜间经济的提升发展。</w:t>
      </w:r>
    </w:p>
    <w:p w:rsidR="008F5F27" w:rsidRPr="00AE4104" w:rsidRDefault="008F5F27" w:rsidP="008F5F27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AE41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第二部分，支持</w:t>
      </w:r>
      <w:proofErr w:type="gramStart"/>
      <w:r w:rsidRPr="00AE41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发展首店经济</w:t>
      </w:r>
      <w:proofErr w:type="gramEnd"/>
      <w:r w:rsidRPr="00AE41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通过对引进方（商业设施运营方）给予奖励，吸引知名品牌来义开设首店，着力提升我市商业档次与有效供给。</w:t>
      </w:r>
    </w:p>
    <w:p w:rsidR="008F5F27" w:rsidRPr="00AE4104" w:rsidRDefault="008F5F27" w:rsidP="008F5F27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AE41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第三部分，提升社区商业服务。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支持生活服务企业连锁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化经营、品牌化发展</w:t>
      </w:r>
      <w:r w:rsidR="00AE4104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完善社区商业配套设施；推动家政业诚信建设，提高家政服务品质。</w:t>
      </w:r>
    </w:p>
    <w:p w:rsidR="008F5F27" w:rsidRPr="00AE4104" w:rsidRDefault="008F5F27" w:rsidP="008F5F27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AE41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第四部分，培育龙头选树典型。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鼓励中小微商贸企业扩大营业规模，支持商贸企业稳定增长和参与评优评先、参加试点。</w:t>
      </w:r>
    </w:p>
    <w:p w:rsidR="008F5F27" w:rsidRPr="00AE4104" w:rsidRDefault="008F5F27" w:rsidP="008F5F27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E41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第五部分，推进回收体系建设。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对再生资源回收企业通过购置设备、车辆，增加投入、扩大规模的，给予相应补助。</w:t>
      </w:r>
    </w:p>
    <w:p w:rsidR="00C0600B" w:rsidRPr="00AE4104" w:rsidRDefault="00C0600B" w:rsidP="00C0600B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AE4104">
        <w:rPr>
          <w:rFonts w:ascii="仿宋_GB2312" w:eastAsia="仿宋_GB2312" w:hAnsi="仿宋_GB2312" w:cs="仿宋_GB2312"/>
          <w:b/>
          <w:bCs/>
          <w:sz w:val="32"/>
          <w:szCs w:val="32"/>
        </w:rPr>
        <w:t>第六部分，积极推动共同富裕。</w:t>
      </w:r>
      <w:r w:rsidRPr="00AE4104">
        <w:rPr>
          <w:rFonts w:ascii="仿宋_GB2312" w:eastAsia="仿宋_GB2312" w:hAnsi="仿宋_GB2312" w:cs="仿宋_GB2312"/>
          <w:bCs/>
          <w:sz w:val="32"/>
          <w:szCs w:val="32"/>
        </w:rPr>
        <w:t>支持鼓励我市经营主体采购</w:t>
      </w:r>
      <w:r w:rsidRPr="00AE4104">
        <w:rPr>
          <w:rFonts w:ascii="仿宋_GB2312" w:eastAsia="仿宋_GB2312" w:hAnsi="仿宋_GB2312" w:cs="仿宋_GB2312" w:hint="eastAsia"/>
          <w:sz w:val="32"/>
          <w:szCs w:val="32"/>
        </w:rPr>
        <w:t>东西部协作消费扶贫对口地区和山海协</w:t>
      </w:r>
      <w:proofErr w:type="gramStart"/>
      <w:r w:rsidRPr="00AE4104">
        <w:rPr>
          <w:rFonts w:ascii="仿宋_GB2312" w:eastAsia="仿宋_GB2312" w:hAnsi="仿宋_GB2312" w:cs="仿宋_GB2312" w:hint="eastAsia"/>
          <w:sz w:val="32"/>
          <w:szCs w:val="32"/>
        </w:rPr>
        <w:t>作消费</w:t>
      </w:r>
      <w:proofErr w:type="gramEnd"/>
      <w:r w:rsidRPr="00AE4104">
        <w:rPr>
          <w:rFonts w:ascii="仿宋_GB2312" w:eastAsia="仿宋_GB2312" w:hAnsi="仿宋_GB2312" w:cs="仿宋_GB2312" w:hint="eastAsia"/>
          <w:sz w:val="32"/>
          <w:szCs w:val="32"/>
        </w:rPr>
        <w:t>扶贫对口地区农副产品。</w:t>
      </w:r>
    </w:p>
    <w:p w:rsidR="007253D1" w:rsidRPr="00AE4104" w:rsidRDefault="007253D1" w:rsidP="007253D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E41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第七部分，其他说明。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对</w:t>
      </w:r>
      <w:r w:rsidR="00C0600B"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措施</w:t>
      </w:r>
      <w:r w:rsidRPr="00AE4104">
        <w:rPr>
          <w:rFonts w:ascii="仿宋_GB2312" w:eastAsia="仿宋_GB2312" w:hAnsi="仿宋_GB2312" w:cs="仿宋_GB2312" w:hint="eastAsia"/>
          <w:bCs/>
          <w:sz w:val="32"/>
          <w:szCs w:val="32"/>
        </w:rPr>
        <w:t>适用的相关限制条件予以明确。</w:t>
      </w:r>
    </w:p>
    <w:p w:rsidR="000E613E" w:rsidRPr="00AE4104" w:rsidRDefault="00F06B4B" w:rsidP="000E613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4104">
        <w:rPr>
          <w:rFonts w:ascii="仿宋" w:eastAsia="仿宋" w:hAnsi="仿宋"/>
          <w:b/>
          <w:sz w:val="32"/>
          <w:szCs w:val="32"/>
        </w:rPr>
        <w:t>三、</w:t>
      </w:r>
      <w:r w:rsidR="007253D1" w:rsidRPr="00AE4104">
        <w:rPr>
          <w:rFonts w:ascii="仿宋" w:eastAsia="仿宋" w:hAnsi="仿宋"/>
          <w:b/>
          <w:sz w:val="32"/>
          <w:szCs w:val="32"/>
        </w:rPr>
        <w:t>适用</w:t>
      </w:r>
      <w:r w:rsidRPr="00AE4104">
        <w:rPr>
          <w:rFonts w:ascii="仿宋" w:eastAsia="仿宋" w:hAnsi="仿宋"/>
          <w:b/>
          <w:sz w:val="32"/>
          <w:szCs w:val="32"/>
        </w:rPr>
        <w:t>期</w:t>
      </w:r>
      <w:r w:rsidR="007253D1" w:rsidRPr="00AE4104">
        <w:rPr>
          <w:rFonts w:ascii="仿宋" w:eastAsia="仿宋" w:hAnsi="仿宋"/>
          <w:b/>
          <w:sz w:val="32"/>
          <w:szCs w:val="32"/>
        </w:rPr>
        <w:t>间</w:t>
      </w:r>
    </w:p>
    <w:p w:rsidR="007253D1" w:rsidRPr="00AE4104" w:rsidRDefault="007253D1" w:rsidP="007253D1">
      <w:pPr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proofErr w:type="gramStart"/>
      <w:r w:rsidRPr="00AE4104">
        <w:rPr>
          <w:rFonts w:ascii="仿宋_GB2312" w:eastAsia="仿宋_GB2312"/>
          <w:spacing w:val="-6"/>
          <w:sz w:val="32"/>
          <w:szCs w:val="32"/>
        </w:rPr>
        <w:t>本</w:t>
      </w:r>
      <w:r w:rsidR="00C0600B" w:rsidRPr="00AE4104">
        <w:rPr>
          <w:rFonts w:ascii="仿宋_GB2312" w:eastAsia="仿宋_GB2312"/>
          <w:spacing w:val="-6"/>
          <w:sz w:val="32"/>
          <w:szCs w:val="32"/>
        </w:rPr>
        <w:t>措施</w:t>
      </w:r>
      <w:proofErr w:type="gramEnd"/>
      <w:r w:rsidRPr="00AE4104">
        <w:rPr>
          <w:rFonts w:ascii="仿宋_GB2312" w:eastAsia="仿宋_GB2312"/>
          <w:spacing w:val="-6"/>
          <w:sz w:val="32"/>
          <w:szCs w:val="32"/>
        </w:rPr>
        <w:t>自20</w:t>
      </w:r>
      <w:r w:rsidRPr="00AE4104">
        <w:rPr>
          <w:rFonts w:ascii="仿宋_GB2312" w:eastAsia="仿宋_GB2312" w:hint="eastAsia"/>
          <w:spacing w:val="-6"/>
          <w:sz w:val="32"/>
          <w:szCs w:val="32"/>
        </w:rPr>
        <w:t>22</w:t>
      </w:r>
      <w:r w:rsidRPr="00AE4104">
        <w:rPr>
          <w:rFonts w:ascii="仿宋_GB2312" w:eastAsia="仿宋_GB2312"/>
          <w:spacing w:val="-6"/>
          <w:sz w:val="32"/>
          <w:szCs w:val="32"/>
        </w:rPr>
        <w:t>年</w:t>
      </w:r>
      <w:r w:rsidRPr="00AE4104">
        <w:rPr>
          <w:rFonts w:ascii="仿宋_GB2312" w:eastAsia="仿宋_GB2312" w:hint="eastAsia"/>
          <w:spacing w:val="-6"/>
          <w:sz w:val="32"/>
          <w:szCs w:val="32"/>
        </w:rPr>
        <w:t>1</w:t>
      </w:r>
      <w:r w:rsidRPr="00AE4104">
        <w:rPr>
          <w:rFonts w:ascii="仿宋_GB2312" w:eastAsia="仿宋_GB2312"/>
          <w:spacing w:val="-6"/>
          <w:sz w:val="32"/>
          <w:szCs w:val="32"/>
        </w:rPr>
        <w:t>月1日起施行，至202</w:t>
      </w:r>
      <w:r w:rsidRPr="00AE4104">
        <w:rPr>
          <w:rFonts w:ascii="仿宋_GB2312" w:eastAsia="仿宋_GB2312" w:hint="eastAsia"/>
          <w:spacing w:val="-6"/>
          <w:sz w:val="32"/>
          <w:szCs w:val="32"/>
        </w:rPr>
        <w:t>4</w:t>
      </w:r>
      <w:r w:rsidRPr="00AE4104">
        <w:rPr>
          <w:rFonts w:ascii="仿宋_GB2312" w:eastAsia="仿宋_GB2312"/>
          <w:spacing w:val="-6"/>
          <w:sz w:val="32"/>
          <w:szCs w:val="32"/>
        </w:rPr>
        <w:t>年12月31日止。</w:t>
      </w:r>
    </w:p>
    <w:p w:rsidR="00F06B4B" w:rsidRPr="00AE4104" w:rsidRDefault="00F06B4B" w:rsidP="000E613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4104">
        <w:rPr>
          <w:rFonts w:ascii="仿宋" w:eastAsia="仿宋" w:hAnsi="仿宋" w:hint="eastAsia"/>
          <w:b/>
          <w:sz w:val="32"/>
          <w:szCs w:val="32"/>
        </w:rPr>
        <w:t>四、扶持对象</w:t>
      </w:r>
    </w:p>
    <w:p w:rsidR="00C0600B" w:rsidRPr="00AE4104" w:rsidRDefault="00C0600B" w:rsidP="00C0600B">
      <w:pPr>
        <w:spacing w:line="56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AE4104">
        <w:rPr>
          <w:rFonts w:ascii="仿宋_GB2312" w:eastAsia="仿宋_GB2312"/>
          <w:spacing w:val="-6"/>
          <w:sz w:val="32"/>
          <w:szCs w:val="32"/>
        </w:rPr>
        <w:t>本政策第</w:t>
      </w:r>
      <w:r w:rsidRPr="00AE4104">
        <w:rPr>
          <w:rFonts w:ascii="仿宋_GB2312" w:eastAsia="仿宋_GB2312" w:hint="eastAsia"/>
          <w:spacing w:val="-6"/>
          <w:sz w:val="32"/>
          <w:szCs w:val="32"/>
        </w:rPr>
        <w:t>1、2条(建设高品质步行街、评选“市级夜间经济示范街区和示范点”)适用对象为注册地在义乌的企业和所在</w:t>
      </w:r>
      <w:r w:rsidRPr="00AE4104">
        <w:rPr>
          <w:rFonts w:ascii="仿宋_GB2312" w:eastAsia="仿宋_GB2312" w:hAnsi="仿宋_GB2312" w:cs="仿宋_GB2312" w:hint="eastAsia"/>
          <w:sz w:val="32"/>
          <w:szCs w:val="32"/>
        </w:rPr>
        <w:t>村或社区；</w:t>
      </w:r>
      <w:r w:rsidRPr="00AE4104">
        <w:rPr>
          <w:rFonts w:ascii="仿宋_GB2312" w:eastAsia="仿宋_GB2312"/>
          <w:spacing w:val="-6"/>
          <w:sz w:val="32"/>
          <w:szCs w:val="32"/>
        </w:rPr>
        <w:t>第</w:t>
      </w:r>
      <w:r w:rsidRPr="00AE4104">
        <w:rPr>
          <w:rFonts w:ascii="仿宋_GB2312" w:eastAsia="仿宋_GB2312" w:hint="eastAsia"/>
          <w:spacing w:val="-6"/>
          <w:sz w:val="32"/>
          <w:szCs w:val="32"/>
        </w:rPr>
        <w:t>5、10条（家政业诚信建设、开展消费帮扶）适用对象为</w:t>
      </w:r>
      <w:r w:rsidRPr="00AE4104">
        <w:rPr>
          <w:rFonts w:ascii="仿宋_GB2312" w:eastAsia="仿宋_GB2312"/>
          <w:spacing w:val="-6"/>
          <w:sz w:val="32"/>
          <w:szCs w:val="32"/>
        </w:rPr>
        <w:t>注册地在义乌的企业和个体工商户；其余条款适用对象为注册地在义乌的企业。</w:t>
      </w:r>
    </w:p>
    <w:p w:rsidR="00F06B4B" w:rsidRPr="00AE4104" w:rsidRDefault="007253D1" w:rsidP="000E613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4104">
        <w:rPr>
          <w:rFonts w:ascii="仿宋" w:eastAsia="仿宋" w:hAnsi="仿宋" w:hint="eastAsia"/>
          <w:b/>
          <w:sz w:val="32"/>
          <w:szCs w:val="32"/>
        </w:rPr>
        <w:t>五</w:t>
      </w:r>
      <w:r w:rsidR="00F06B4B" w:rsidRPr="00AE4104">
        <w:rPr>
          <w:rFonts w:ascii="仿宋" w:eastAsia="仿宋" w:hAnsi="仿宋" w:hint="eastAsia"/>
          <w:b/>
          <w:sz w:val="32"/>
          <w:szCs w:val="32"/>
        </w:rPr>
        <w:t>、限制条款</w:t>
      </w:r>
    </w:p>
    <w:p w:rsidR="00F06B4B" w:rsidRPr="00AE4104" w:rsidRDefault="007253D1" w:rsidP="007253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4104">
        <w:rPr>
          <w:rFonts w:ascii="仿宋" w:eastAsia="仿宋" w:hAnsi="仿宋" w:hint="eastAsia"/>
          <w:sz w:val="32"/>
          <w:szCs w:val="32"/>
        </w:rPr>
        <w:t>对信用等级较差主体的奖励予以扣减。</w:t>
      </w:r>
      <w:r w:rsidRPr="00AE4104">
        <w:rPr>
          <w:rFonts w:ascii="仿宋" w:eastAsia="仿宋" w:hAnsi="仿宋"/>
          <w:sz w:val="32"/>
          <w:szCs w:val="32"/>
        </w:rPr>
        <w:t>信用等级E</w:t>
      </w:r>
      <w:proofErr w:type="gramStart"/>
      <w:r w:rsidR="006967DB" w:rsidRPr="00AE4104">
        <w:rPr>
          <w:rFonts w:ascii="仿宋" w:eastAsia="仿宋" w:hAnsi="仿宋"/>
          <w:sz w:val="32"/>
          <w:szCs w:val="32"/>
        </w:rPr>
        <w:t>级</w:t>
      </w:r>
      <w:r w:rsidRPr="00AE4104">
        <w:rPr>
          <w:rFonts w:ascii="仿宋" w:eastAsia="仿宋" w:hAnsi="仿宋"/>
          <w:sz w:val="32"/>
          <w:szCs w:val="32"/>
        </w:rPr>
        <w:t>取消</w:t>
      </w:r>
      <w:proofErr w:type="gramEnd"/>
      <w:r w:rsidRPr="00AE4104">
        <w:rPr>
          <w:rFonts w:ascii="仿宋" w:eastAsia="仿宋" w:hAnsi="仿宋"/>
          <w:sz w:val="32"/>
          <w:szCs w:val="32"/>
        </w:rPr>
        <w:t>奖励；信用等级D级下调30%奖励额度。具体以</w:t>
      </w:r>
      <w:r w:rsidR="006967DB" w:rsidRPr="00AE4104">
        <w:rPr>
          <w:rFonts w:ascii="仿宋" w:eastAsia="仿宋" w:hAnsi="仿宋"/>
          <w:sz w:val="32"/>
          <w:szCs w:val="32"/>
        </w:rPr>
        <w:t>主体</w:t>
      </w:r>
      <w:r w:rsidRPr="00AE4104">
        <w:rPr>
          <w:rFonts w:ascii="仿宋" w:eastAsia="仿宋" w:hAnsi="仿宋"/>
          <w:sz w:val="32"/>
          <w:szCs w:val="32"/>
        </w:rPr>
        <w:t>在政</w:t>
      </w:r>
      <w:r w:rsidRPr="00AE4104">
        <w:rPr>
          <w:rFonts w:ascii="仿宋" w:eastAsia="仿宋" w:hAnsi="仿宋"/>
          <w:sz w:val="32"/>
          <w:szCs w:val="32"/>
        </w:rPr>
        <w:lastRenderedPageBreak/>
        <w:t>策享受对应期期末信用为准。</w:t>
      </w:r>
    </w:p>
    <w:p w:rsidR="00F06B4B" w:rsidRDefault="00F06B4B" w:rsidP="000E613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AE4104" w:rsidRDefault="00AE4104" w:rsidP="000E613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AE4104" w:rsidRDefault="00AE4104" w:rsidP="000E613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AE4104" w:rsidRPr="00137CEA" w:rsidRDefault="00AE4104" w:rsidP="00AE4104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3" w:name="_GoBack"/>
      <w:bookmarkEnd w:id="3"/>
    </w:p>
    <w:sectPr w:rsidR="00AE4104" w:rsidRPr="00137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6C" w:rsidRDefault="009A1F6C" w:rsidP="00E267A3">
      <w:r>
        <w:separator/>
      </w:r>
    </w:p>
  </w:endnote>
  <w:endnote w:type="continuationSeparator" w:id="0">
    <w:p w:rsidR="009A1F6C" w:rsidRDefault="009A1F6C" w:rsidP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6C" w:rsidRDefault="009A1F6C" w:rsidP="00E267A3">
      <w:r>
        <w:separator/>
      </w:r>
    </w:p>
  </w:footnote>
  <w:footnote w:type="continuationSeparator" w:id="0">
    <w:p w:rsidR="009A1F6C" w:rsidRDefault="009A1F6C" w:rsidP="00E2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C"/>
    <w:rsid w:val="000E613E"/>
    <w:rsid w:val="00137CEA"/>
    <w:rsid w:val="00452585"/>
    <w:rsid w:val="005520DF"/>
    <w:rsid w:val="00555182"/>
    <w:rsid w:val="006967DB"/>
    <w:rsid w:val="007253D1"/>
    <w:rsid w:val="008A615C"/>
    <w:rsid w:val="008F5F27"/>
    <w:rsid w:val="009A1F6C"/>
    <w:rsid w:val="00AE4104"/>
    <w:rsid w:val="00C0600B"/>
    <w:rsid w:val="00CE571C"/>
    <w:rsid w:val="00D15FF5"/>
    <w:rsid w:val="00E267A3"/>
    <w:rsid w:val="00EC0DF1"/>
    <w:rsid w:val="00F06B4B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A3"/>
    <w:rPr>
      <w:sz w:val="18"/>
      <w:szCs w:val="18"/>
    </w:rPr>
  </w:style>
  <w:style w:type="paragraph" w:styleId="a5">
    <w:name w:val="Normal (Web)"/>
    <w:basedOn w:val="a"/>
    <w:uiPriority w:val="99"/>
    <w:qFormat/>
    <w:rsid w:val="008F5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F5F2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F5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A3"/>
    <w:rPr>
      <w:sz w:val="18"/>
      <w:szCs w:val="18"/>
    </w:rPr>
  </w:style>
  <w:style w:type="paragraph" w:styleId="a5">
    <w:name w:val="Normal (Web)"/>
    <w:basedOn w:val="a"/>
    <w:uiPriority w:val="99"/>
    <w:qFormat/>
    <w:rsid w:val="008F5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F5F2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F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144</Words>
  <Characters>824</Characters>
  <Application>Microsoft Office Word</Application>
  <DocSecurity>0</DocSecurity>
  <Lines>6</Lines>
  <Paragraphs>1</Paragraphs>
  <ScaleCrop>false</ScaleCrop>
  <Company>义乌市人民政府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ConyDad</dc:creator>
  <cp:keywords/>
  <dc:description/>
  <cp:lastModifiedBy>HP13</cp:lastModifiedBy>
  <cp:revision>11</cp:revision>
  <dcterms:created xsi:type="dcterms:W3CDTF">2021-08-16T19:22:00Z</dcterms:created>
  <dcterms:modified xsi:type="dcterms:W3CDTF">2021-11-04T03:35:00Z</dcterms:modified>
</cp:coreProperties>
</file>