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1455"/>
        </w:tabs>
        <w:spacing w:line="560" w:lineRule="exact"/>
        <w:jc w:val="left"/>
        <w:rPr>
          <w:rFonts w:hint="eastAsia" w:ascii="黑体" w:hAnsi="黑体" w:eastAsia="黑体"/>
          <w:szCs w:val="32"/>
        </w:rPr>
      </w:pPr>
      <w:r>
        <w:rPr>
          <w:rFonts w:hint="eastAsia" w:ascii="黑体" w:hAnsi="黑体" w:eastAsia="黑体"/>
          <w:szCs w:val="32"/>
        </w:rPr>
        <w:t>附件</w:t>
      </w:r>
      <w:r>
        <w:rPr>
          <w:rFonts w:eastAsia="黑体"/>
          <w:szCs w:val="32"/>
        </w:rPr>
        <w:t>2</w:t>
      </w:r>
    </w:p>
    <w:p>
      <w:pPr>
        <w:pStyle w:val="2"/>
        <w:tabs>
          <w:tab w:val="left" w:pos="1455"/>
        </w:tabs>
        <w:spacing w:line="560" w:lineRule="exact"/>
        <w:jc w:val="left"/>
        <w:rPr>
          <w:rFonts w:hint="eastAsia" w:ascii="黑体" w:hAnsi="黑体" w:eastAsia="黑体"/>
          <w:szCs w:val="32"/>
        </w:rPr>
      </w:pPr>
    </w:p>
    <w:p>
      <w:pPr>
        <w:pStyle w:val="2"/>
        <w:tabs>
          <w:tab w:val="left" w:pos="935"/>
          <w:tab w:val="center" w:pos="6979"/>
        </w:tabs>
        <w:spacing w:line="700" w:lineRule="exact"/>
        <w:jc w:val="left"/>
        <w:rPr>
          <w:rFonts w:ascii="方正小标宋简体" w:eastAsia="方正小标宋简体"/>
          <w:spacing w:val="20"/>
          <w:sz w:val="44"/>
          <w:szCs w:val="44"/>
        </w:rPr>
      </w:pPr>
      <w:r>
        <w:rPr>
          <w:rFonts w:ascii="方正小标宋简体" w:eastAsia="方正小标宋简体"/>
          <w:sz w:val="44"/>
          <w:szCs w:val="44"/>
        </w:rPr>
        <w:tab/>
      </w:r>
      <w:r>
        <w:rPr>
          <w:rFonts w:ascii="方正小标宋简体" w:eastAsia="方正小标宋简体"/>
          <w:sz w:val="44"/>
          <w:szCs w:val="44"/>
        </w:rPr>
        <w:tab/>
      </w:r>
      <w:bookmarkStart w:id="0" w:name="_GoBack"/>
      <w:r>
        <w:rPr>
          <w:rFonts w:hint="eastAsia" w:ascii="方正小标宋简体" w:eastAsia="方正小标宋简体"/>
          <w:spacing w:val="20"/>
          <w:sz w:val="44"/>
          <w:szCs w:val="44"/>
        </w:rPr>
        <w:t>义乌市实行告知承诺制其他事项清单</w:t>
      </w:r>
      <w:bookmarkEnd w:id="0"/>
    </w:p>
    <w:p>
      <w:pPr>
        <w:rPr>
          <w:rFonts w:hint="eastAsia" w:ascii="仿宋_GB2312" w:hAnsi="仿宋_GB2312" w:eastAsia="仿宋_GB2312" w:cs="仿宋_GB2312"/>
          <w:sz w:val="32"/>
          <w:szCs w:val="32"/>
        </w:rPr>
      </w:pPr>
    </w:p>
    <w:tbl>
      <w:tblPr>
        <w:tblStyle w:val="4"/>
        <w:tblW w:w="13155" w:type="dxa"/>
        <w:tblInd w:w="93" w:type="dxa"/>
        <w:tblLayout w:type="autofit"/>
        <w:tblCellMar>
          <w:top w:w="0" w:type="dxa"/>
          <w:left w:w="108" w:type="dxa"/>
          <w:bottom w:w="0" w:type="dxa"/>
          <w:right w:w="108" w:type="dxa"/>
        </w:tblCellMar>
      </w:tblPr>
      <w:tblGrid>
        <w:gridCol w:w="691"/>
        <w:gridCol w:w="1685"/>
        <w:gridCol w:w="2771"/>
        <w:gridCol w:w="2731"/>
        <w:gridCol w:w="1607"/>
        <w:gridCol w:w="1604"/>
        <w:gridCol w:w="1147"/>
        <w:gridCol w:w="919"/>
      </w:tblGrid>
      <w:tr>
        <w:tblPrEx>
          <w:tblCellMar>
            <w:top w:w="0" w:type="dxa"/>
            <w:left w:w="108" w:type="dxa"/>
            <w:bottom w:w="0" w:type="dxa"/>
            <w:right w:w="108" w:type="dxa"/>
          </w:tblCellMar>
        </w:tblPrEx>
        <w:trPr>
          <w:trHeight w:val="400" w:hRule="atLeast"/>
          <w:tblHeader/>
        </w:trPr>
        <w:tc>
          <w:tcPr>
            <w:tcW w:w="696" w:type="dxa"/>
            <w:vMerge w:val="restart"/>
            <w:tcBorders>
              <w:top w:val="single" w:color="000000" w:sz="8" w:space="0"/>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序号</w:t>
            </w:r>
          </w:p>
        </w:tc>
        <w:tc>
          <w:tcPr>
            <w:tcW w:w="1700" w:type="dxa"/>
            <w:vMerge w:val="restart"/>
            <w:tcBorders>
              <w:top w:val="single" w:color="000000" w:sz="8" w:space="0"/>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行政事项</w:t>
            </w:r>
          </w:p>
        </w:tc>
        <w:tc>
          <w:tcPr>
            <w:tcW w:w="2800" w:type="dxa"/>
            <w:vMerge w:val="restart"/>
            <w:tcBorders>
              <w:top w:val="single" w:color="000000" w:sz="8" w:space="0"/>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证明材料</w:t>
            </w:r>
          </w:p>
        </w:tc>
        <w:tc>
          <w:tcPr>
            <w:tcW w:w="2760" w:type="dxa"/>
            <w:vMerge w:val="restart"/>
            <w:tcBorders>
              <w:top w:val="single" w:color="000000" w:sz="8" w:space="0"/>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证明设定依据</w:t>
            </w:r>
          </w:p>
        </w:tc>
        <w:tc>
          <w:tcPr>
            <w:tcW w:w="3242" w:type="dxa"/>
            <w:gridSpan w:val="2"/>
            <w:tcBorders>
              <w:top w:val="single" w:color="000000" w:sz="8" w:space="0"/>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实施基本情况</w:t>
            </w:r>
          </w:p>
        </w:tc>
        <w:tc>
          <w:tcPr>
            <w:tcW w:w="1158" w:type="dxa"/>
            <w:vMerge w:val="restart"/>
            <w:tcBorders>
              <w:top w:val="single" w:color="000000" w:sz="8" w:space="0"/>
              <w:left w:val="nil"/>
              <w:right w:val="single" w:color="000000" w:sz="8" w:space="0"/>
            </w:tcBorders>
            <w:noWrap w:val="0"/>
            <w:tcMar>
              <w:left w:w="40" w:type="dxa"/>
              <w:right w:w="40" w:type="dxa"/>
            </w:tcMar>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事中事后</w:t>
            </w:r>
          </w:p>
          <w:p>
            <w:pPr>
              <w:spacing w:line="300" w:lineRule="exact"/>
              <w:jc w:val="center"/>
              <w:rPr>
                <w:rFonts w:ascii="黑体" w:hAnsi="宋体" w:eastAsia="黑体" w:cs="宋体"/>
                <w:kern w:val="0"/>
                <w:sz w:val="24"/>
              </w:rPr>
            </w:pPr>
            <w:r>
              <w:rPr>
                <w:rFonts w:hint="eastAsia" w:ascii="黑体" w:hAnsi="宋体" w:eastAsia="黑体" w:cs="宋体"/>
                <w:kern w:val="0"/>
                <w:sz w:val="24"/>
              </w:rPr>
              <w:t>核查举措</w:t>
            </w:r>
          </w:p>
        </w:tc>
        <w:tc>
          <w:tcPr>
            <w:tcW w:w="926" w:type="dxa"/>
            <w:vMerge w:val="restart"/>
            <w:tcBorders>
              <w:top w:val="single" w:color="000000" w:sz="8" w:space="0"/>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备注</w:t>
            </w:r>
          </w:p>
        </w:tc>
      </w:tr>
      <w:tr>
        <w:tblPrEx>
          <w:tblCellMar>
            <w:top w:w="0" w:type="dxa"/>
            <w:left w:w="108" w:type="dxa"/>
            <w:bottom w:w="0" w:type="dxa"/>
            <w:right w:w="108" w:type="dxa"/>
          </w:tblCellMar>
        </w:tblPrEx>
        <w:trPr>
          <w:trHeight w:val="400" w:hRule="atLeast"/>
          <w:tblHeader/>
        </w:trPr>
        <w:tc>
          <w:tcPr>
            <w:tcW w:w="696" w:type="dxa"/>
            <w:vMerge w:val="continue"/>
            <w:tcBorders>
              <w:top w:val="single" w:color="000000" w:sz="8" w:space="0"/>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黑体" w:hAnsi="宋体" w:eastAsia="黑体" w:cs="宋体"/>
                <w:kern w:val="0"/>
                <w:sz w:val="24"/>
              </w:rPr>
            </w:pPr>
          </w:p>
        </w:tc>
        <w:tc>
          <w:tcPr>
            <w:tcW w:w="1700" w:type="dxa"/>
            <w:vMerge w:val="continue"/>
            <w:tcBorders>
              <w:top w:val="single" w:color="000000" w:sz="8" w:space="0"/>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黑体" w:hAnsi="宋体" w:eastAsia="黑体" w:cs="宋体"/>
                <w:kern w:val="0"/>
                <w:sz w:val="24"/>
              </w:rPr>
            </w:pPr>
          </w:p>
        </w:tc>
        <w:tc>
          <w:tcPr>
            <w:tcW w:w="2800" w:type="dxa"/>
            <w:vMerge w:val="continue"/>
            <w:tcBorders>
              <w:top w:val="single" w:color="000000" w:sz="8" w:space="0"/>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黑体" w:hAnsi="宋体" w:eastAsia="黑体" w:cs="宋体"/>
                <w:kern w:val="0"/>
                <w:sz w:val="24"/>
              </w:rPr>
            </w:pPr>
          </w:p>
        </w:tc>
        <w:tc>
          <w:tcPr>
            <w:tcW w:w="2760" w:type="dxa"/>
            <w:vMerge w:val="continue"/>
            <w:tcBorders>
              <w:top w:val="single" w:color="000000" w:sz="8" w:space="0"/>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黑体" w:hAnsi="宋体" w:eastAsia="黑体" w:cs="宋体"/>
                <w:kern w:val="0"/>
                <w:sz w:val="24"/>
              </w:rPr>
            </w:pP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开具单位</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黑体" w:hAnsi="宋体" w:eastAsia="黑体" w:cs="宋体"/>
                <w:kern w:val="0"/>
                <w:sz w:val="24"/>
              </w:rPr>
            </w:pPr>
            <w:r>
              <w:rPr>
                <w:rFonts w:hint="eastAsia" w:ascii="黑体" w:hAnsi="宋体" w:eastAsia="黑体" w:cs="宋体"/>
                <w:kern w:val="0"/>
                <w:sz w:val="24"/>
              </w:rPr>
              <w:t>索要单位</w:t>
            </w:r>
          </w:p>
        </w:tc>
        <w:tc>
          <w:tcPr>
            <w:tcW w:w="1158" w:type="dxa"/>
            <w:vMerge w:val="continue"/>
            <w:tcBorders>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黑体" w:hAnsi="宋体" w:eastAsia="黑体" w:cs="宋体"/>
                <w:kern w:val="0"/>
                <w:sz w:val="24"/>
              </w:rPr>
            </w:pPr>
          </w:p>
        </w:tc>
        <w:tc>
          <w:tcPr>
            <w:tcW w:w="926" w:type="dxa"/>
            <w:vMerge w:val="continue"/>
            <w:tcBorders>
              <w:top w:val="single" w:color="000000" w:sz="8" w:space="0"/>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黑体" w:hAnsi="宋体" w:eastAsia="黑体" w:cs="宋体"/>
                <w:kern w:val="0"/>
                <w:sz w:val="24"/>
              </w:rPr>
            </w:pPr>
          </w:p>
        </w:tc>
      </w:tr>
      <w:tr>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1</w:t>
            </w:r>
          </w:p>
        </w:tc>
        <w:tc>
          <w:tcPr>
            <w:tcW w:w="1700" w:type="dxa"/>
            <w:vMerge w:val="restart"/>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spacing w:val="-6"/>
                <w:kern w:val="0"/>
                <w:sz w:val="24"/>
              </w:rPr>
            </w:pPr>
            <w:r>
              <w:rPr>
                <w:rFonts w:hint="eastAsia" w:ascii="仿宋_GB2312" w:hAnsi="宋体" w:eastAsia="仿宋_GB2312" w:cs="宋体"/>
                <w:spacing w:val="-6"/>
                <w:kern w:val="0"/>
                <w:sz w:val="24"/>
              </w:rPr>
              <w:t>外商投资项目核准（技术改造）</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以国有资产出资的，需由有关主管部门出具的确认文件</w:t>
            </w:r>
          </w:p>
        </w:tc>
        <w:tc>
          <w:tcPr>
            <w:tcW w:w="2760" w:type="dxa"/>
            <w:vMerge w:val="restart"/>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《外商投资项目核准和备案管理办法》第十条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有关主管部门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市经信局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2</w:t>
            </w:r>
          </w:p>
        </w:tc>
        <w:tc>
          <w:tcPr>
            <w:tcW w:w="1700" w:type="dxa"/>
            <w:vMerge w:val="continue"/>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开户银行出具的资金信用材料</w:t>
            </w:r>
          </w:p>
        </w:tc>
        <w:tc>
          <w:tcPr>
            <w:tcW w:w="2760" w:type="dxa"/>
            <w:vMerge w:val="continue"/>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开户银行</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市经信局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3</w:t>
            </w:r>
          </w:p>
        </w:tc>
        <w:tc>
          <w:tcPr>
            <w:tcW w:w="1700" w:type="dxa"/>
            <w:vMerge w:val="continue"/>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建设项目用地（用海）预审意见</w:t>
            </w:r>
          </w:p>
        </w:tc>
        <w:tc>
          <w:tcPr>
            <w:tcW w:w="2760" w:type="dxa"/>
            <w:vMerge w:val="continue"/>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spacing w:val="-12"/>
                <w:kern w:val="0"/>
                <w:sz w:val="24"/>
              </w:rPr>
              <w:t>自然资源和规划</w:t>
            </w:r>
            <w:r>
              <w:rPr>
                <w:rFonts w:hint="eastAsia" w:ascii="仿宋_GB2312" w:hAnsi="宋体" w:eastAsia="仿宋_GB2312" w:cs="宋体"/>
                <w:kern w:val="0"/>
                <w:sz w:val="24"/>
              </w:rPr>
              <w:t>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市经信局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4</w:t>
            </w:r>
          </w:p>
        </w:tc>
        <w:tc>
          <w:tcPr>
            <w:tcW w:w="1700" w:type="dxa"/>
            <w:vMerge w:val="continue"/>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《建设项目选址意见书》</w:t>
            </w:r>
          </w:p>
        </w:tc>
        <w:tc>
          <w:tcPr>
            <w:tcW w:w="2760" w:type="dxa"/>
            <w:vMerge w:val="continue"/>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spacing w:val="-12"/>
                <w:kern w:val="0"/>
                <w:sz w:val="24"/>
              </w:rPr>
              <w:t>自然资源和规划</w:t>
            </w:r>
            <w:r>
              <w:rPr>
                <w:rFonts w:hint="eastAsia" w:ascii="仿宋_GB2312" w:hAnsi="宋体" w:eastAsia="仿宋_GB2312" w:cs="宋体"/>
                <w:kern w:val="0"/>
                <w:sz w:val="24"/>
              </w:rPr>
              <w:t>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市经信局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5</w:t>
            </w:r>
          </w:p>
        </w:tc>
        <w:tc>
          <w:tcPr>
            <w:tcW w:w="1700" w:type="dxa"/>
            <w:vMerge w:val="restart"/>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民办学校审批</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spacing w:val="4"/>
                <w:kern w:val="0"/>
                <w:sz w:val="24"/>
              </w:rPr>
            </w:pPr>
            <w:r>
              <w:rPr>
                <w:rFonts w:hint="eastAsia" w:ascii="仿宋_GB2312" w:hAnsi="宋体" w:eastAsia="仿宋_GB2312" w:cs="宋体"/>
                <w:spacing w:val="4"/>
                <w:kern w:val="0"/>
                <w:sz w:val="24"/>
              </w:rPr>
              <w:t>法人举办者的法定代表人或自然人举办者无犯罪证明</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《中华人民共和国民办教育促进法》第十条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公安部门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市教育局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现场核查</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6</w:t>
            </w:r>
          </w:p>
        </w:tc>
        <w:tc>
          <w:tcPr>
            <w:tcW w:w="1700" w:type="dxa"/>
            <w:vMerge w:val="continue"/>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信用状况证明</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《中华人民共和国民办教育促进法》第六条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spacing w:val="-6"/>
                <w:kern w:val="0"/>
                <w:sz w:val="24"/>
              </w:rPr>
              <w:t>信用主管部门、</w:t>
            </w:r>
            <w:r>
              <w:rPr>
                <w:rFonts w:hint="eastAsia" w:ascii="仿宋_GB2312" w:hAnsi="宋体" w:eastAsia="仿宋_GB2312" w:cs="宋体"/>
                <w:kern w:val="0"/>
                <w:sz w:val="24"/>
              </w:rPr>
              <w:t>银行</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市教育局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7</w:t>
            </w:r>
          </w:p>
        </w:tc>
        <w:tc>
          <w:tcPr>
            <w:tcW w:w="1700" w:type="dxa"/>
            <w:vMerge w:val="continue"/>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校长无犯罪记录证明</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《中华人民共和国民办教育促进法》第二十五条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公安部门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市教育局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8</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少数民族考生参加中考优待的确认</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中考优待资格部门的审核意见</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《中华人民共和国民族区域自治法》第七十一条、《浙江省少数民族权益保障条例》第二十二条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民宗部门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市教育局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现场核查</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9</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法律援助审查</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申请人及家庭成员经济状况证明</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spacing w:val="-6"/>
                <w:kern w:val="0"/>
                <w:sz w:val="24"/>
              </w:rPr>
            </w:pPr>
            <w:r>
              <w:rPr>
                <w:rFonts w:hint="eastAsia" w:ascii="仿宋_GB2312" w:hAnsi="宋体" w:eastAsia="仿宋_GB2312" w:cs="宋体"/>
                <w:spacing w:val="-6"/>
                <w:kern w:val="0"/>
                <w:sz w:val="24"/>
              </w:rPr>
              <w:t>《法律援助条例》第十七条第一款、《浙江省法律援助条例》第十五条第一款</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镇（街道）</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市司法局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10</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个人账户一次性待遇申领</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申领人与去世人的法定继承关系证明</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《中华人民共和国社会保险法》第十七条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公安部门、镇（街道）</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市人力社保局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11</w:t>
            </w:r>
          </w:p>
        </w:tc>
        <w:tc>
          <w:tcPr>
            <w:tcW w:w="1700" w:type="dxa"/>
            <w:vMerge w:val="restart"/>
            <w:tcBorders>
              <w:top w:val="nil"/>
              <w:left w:val="nil"/>
              <w:right w:val="single" w:color="000000" w:sz="8" w:space="0"/>
            </w:tcBorders>
            <w:noWrap w:val="0"/>
            <w:tcMar>
              <w:left w:w="40" w:type="dxa"/>
              <w:right w:w="40" w:type="dxa"/>
            </w:tcMar>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占用林地许可</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相关行政主管部门的批准文件、备案确认文件</w:t>
            </w:r>
          </w:p>
        </w:tc>
        <w:tc>
          <w:tcPr>
            <w:tcW w:w="2760" w:type="dxa"/>
            <w:vMerge w:val="restart"/>
            <w:tcBorders>
              <w:top w:val="nil"/>
              <w:left w:val="nil"/>
              <w:right w:val="single" w:color="000000" w:sz="8" w:space="0"/>
            </w:tcBorders>
            <w:noWrap w:val="0"/>
            <w:tcMar>
              <w:left w:w="40" w:type="dxa"/>
              <w:right w:w="40" w:type="dxa"/>
            </w:tcMar>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《中华人民共和国森林法》第十八条、《建设项目使用林地审核审批管理办法》第七条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相关批准部门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市自然资源和规划局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12</w:t>
            </w:r>
          </w:p>
        </w:tc>
        <w:tc>
          <w:tcPr>
            <w:tcW w:w="1700" w:type="dxa"/>
            <w:vMerge w:val="continue"/>
            <w:tcBorders>
              <w:left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有关人民政府同意的批次用地说明书</w:t>
            </w:r>
          </w:p>
        </w:tc>
        <w:tc>
          <w:tcPr>
            <w:tcW w:w="2760" w:type="dxa"/>
            <w:vMerge w:val="continue"/>
            <w:tcBorders>
              <w:left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县级以上人民政府</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市自然资源和规划局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13</w:t>
            </w:r>
          </w:p>
        </w:tc>
        <w:tc>
          <w:tcPr>
            <w:tcW w:w="1700" w:type="dxa"/>
            <w:vMerge w:val="continue"/>
            <w:tcBorders>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镇人民政府关于农民建房的批复材料</w:t>
            </w:r>
          </w:p>
        </w:tc>
        <w:tc>
          <w:tcPr>
            <w:tcW w:w="2760" w:type="dxa"/>
            <w:vMerge w:val="continue"/>
            <w:tcBorders>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镇人民政府</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市自然资源和规划局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14</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临时占用林地许可</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镇人民政府关于农民建房的批复材料</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《中华人民共和国森林法》第十八条《建设项目使用林地审核审批管理办法》第七条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镇人民政府</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市自然资源和规划局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15</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建设用地规划许可证核发</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spacing w:val="-6"/>
                <w:kern w:val="0"/>
                <w:sz w:val="24"/>
              </w:rPr>
            </w:pPr>
            <w:r>
              <w:rPr>
                <w:rFonts w:hint="eastAsia" w:ascii="仿宋_GB2312" w:hAnsi="宋体" w:eastAsia="仿宋_GB2312" w:cs="宋体"/>
                <w:spacing w:val="-6"/>
                <w:kern w:val="0"/>
                <w:sz w:val="24"/>
              </w:rPr>
              <w:t>建设项目批准、核准、备案文件（临时建设项目除外）</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《中华人民共和国城乡规划法》第四十条、《浙江省城乡规划条例》第三十二条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项目主管部门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市自然资源和规划局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16</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经营性道路客货运输驾驶员换证</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近</w:t>
            </w:r>
            <w:r>
              <w:rPr>
                <w:rFonts w:eastAsia="仿宋_GB2312"/>
                <w:kern w:val="0"/>
                <w:sz w:val="24"/>
              </w:rPr>
              <w:t>3</w:t>
            </w:r>
            <w:r>
              <w:rPr>
                <w:rFonts w:hint="eastAsia" w:ascii="仿宋_GB2312" w:hAnsi="宋体" w:eastAsia="仿宋_GB2312" w:cs="宋体"/>
                <w:kern w:val="0"/>
                <w:sz w:val="24"/>
              </w:rPr>
              <w:t>年内无重大以上交通责任事故证明</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《中华人民共和国道路运输条例》第九条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公安部门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市交通局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17</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spacing w:val="-6"/>
                <w:kern w:val="0"/>
                <w:sz w:val="24"/>
              </w:rPr>
            </w:pPr>
            <w:r>
              <w:rPr>
                <w:rFonts w:hint="eastAsia" w:ascii="仿宋_GB2312" w:hAnsi="宋体" w:eastAsia="仿宋_GB2312" w:cs="宋体"/>
                <w:spacing w:val="-6"/>
                <w:kern w:val="0"/>
                <w:sz w:val="24"/>
              </w:rPr>
              <w:t>申请出租汽车驾驶员从业资格</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无交通肇事犯罪、危险驾驶犯罪、暴力犯罪记录，无吸毒记录，无饮酒后驾驶记录，最近连续</w:t>
            </w:r>
            <w:r>
              <w:rPr>
                <w:rFonts w:eastAsia="仿宋_GB2312"/>
                <w:kern w:val="0"/>
                <w:sz w:val="24"/>
              </w:rPr>
              <w:t>3</w:t>
            </w:r>
            <w:r>
              <w:rPr>
                <w:rFonts w:hint="eastAsia" w:ascii="仿宋_GB2312" w:hAnsi="宋体" w:eastAsia="仿宋_GB2312" w:cs="宋体"/>
                <w:kern w:val="0"/>
                <w:sz w:val="24"/>
              </w:rPr>
              <w:t>个记分周期内没有记满</w:t>
            </w:r>
            <w:r>
              <w:rPr>
                <w:rFonts w:eastAsia="仿宋_GB2312"/>
                <w:kern w:val="0"/>
                <w:sz w:val="24"/>
              </w:rPr>
              <w:t>12</w:t>
            </w:r>
            <w:r>
              <w:rPr>
                <w:rFonts w:hint="eastAsia" w:ascii="仿宋_GB2312" w:hAnsi="宋体" w:eastAsia="仿宋_GB2312" w:cs="宋体"/>
                <w:kern w:val="0"/>
                <w:sz w:val="24"/>
              </w:rPr>
              <w:t>分记录的证明</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《中华人民共和国道路运输条例》第九条；《出租汽车驾驶员从业资格管理规定》第十条、第十一条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公安部门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市交通局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18</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hint="eastAsia" w:ascii="仿宋_GB2312" w:hAnsi="宋体" w:eastAsia="仿宋_GB2312" w:cs="宋体"/>
                <w:kern w:val="0"/>
                <w:sz w:val="24"/>
              </w:rPr>
            </w:pPr>
            <w:r>
              <w:rPr>
                <w:rFonts w:hint="eastAsia" w:ascii="仿宋_GB2312" w:hAnsi="宋体" w:eastAsia="仿宋_GB2312" w:cs="宋体"/>
                <w:kern w:val="0"/>
                <w:sz w:val="24"/>
              </w:rPr>
              <w:t>车辆道路运输证配发（含道</w:t>
            </w:r>
          </w:p>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路运输证换发、补发）</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通讯工具和卫星定位装置配备证明</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《中华人民共和国道路运输条例》第八条、第二十一条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运营商</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市交通局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19</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占用农业灌溉水源、灌排工程设施审批</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建设项目所依据的文件</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《农田水利条例》第二十四条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发改部门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市水务局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20</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水利建设项目可行性研究行业审查</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项目建议书已受理或批复文件</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《中华人民共和国水法》第十九条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发改部门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市水务局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21</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河道管理范围内建设项目施工方案备案</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spacing w:val="-8"/>
                <w:kern w:val="0"/>
                <w:sz w:val="24"/>
              </w:rPr>
            </w:pPr>
            <w:r>
              <w:rPr>
                <w:rFonts w:hint="eastAsia" w:ascii="仿宋_GB2312" w:hAnsi="宋体" w:eastAsia="仿宋_GB2312" w:cs="宋体"/>
                <w:spacing w:val="-8"/>
                <w:kern w:val="0"/>
                <w:sz w:val="24"/>
              </w:rPr>
              <w:t>建设项目工程建设方案批复</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《中华人民共和国河道管理条例》第十一条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建设项目主管部门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市水务局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22</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农村部分计划生育家庭奖励扶助金核发</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婚育情况调查报告</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《中华人民共和国人口与计划生育法》第二十七条、《浙江省人民政府关于农村部分计划生育家庭奖励扶助制度的实施意见》第二条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镇（街道）</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市卫健局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23</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计划生育特别扶助金核发</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婚育情况调查报告</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《中华人民共和国人口与计划生育法》第二十七条、《浙江省人民政府关于农村部分计划生育家庭奖励扶助制度的实施意见》第二条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镇（街道）</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市卫健局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24</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计划生育公益金核发</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婚育情况调查报告</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《中华人民共和国人口与计划生育法》第二十七条、《浙江省人口与计划生育公益管理办法》第五条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镇（街道）</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市卫健局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25</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非煤矿山建设项目安全设施设计审查</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立项和可行性研究报告批准文件</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《中华人民共和国安全生产法》第三十条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spacing w:val="-12"/>
                <w:kern w:val="0"/>
                <w:sz w:val="24"/>
              </w:rPr>
              <w:t>发改、自然资源</w:t>
            </w:r>
            <w:r>
              <w:rPr>
                <w:rFonts w:hint="eastAsia" w:ascii="仿宋_GB2312" w:hAnsi="宋体" w:eastAsia="仿宋_GB2312" w:cs="宋体"/>
                <w:kern w:val="0"/>
                <w:sz w:val="24"/>
              </w:rPr>
              <w:t>和规划部门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市应急管理局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现场核查</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26</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生产、储存危险化学品的建设项目安全设施设计审查</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设计单位的设计资质证明文件</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《中华人民共和国安全生产法》第三十条、《危险化学品建设项目安全监督管理办法》第十六条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spacing w:val="-12"/>
                <w:kern w:val="0"/>
                <w:sz w:val="24"/>
              </w:rPr>
              <w:t>住房和城乡建设</w:t>
            </w:r>
            <w:r>
              <w:rPr>
                <w:rFonts w:hint="eastAsia" w:ascii="仿宋_GB2312" w:hAnsi="宋体" w:eastAsia="仿宋_GB2312" w:cs="宋体"/>
                <w:kern w:val="0"/>
                <w:sz w:val="24"/>
              </w:rPr>
              <w:t>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市应急管理局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现场核查</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27</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spacing w:val="-6"/>
                <w:kern w:val="0"/>
                <w:sz w:val="24"/>
              </w:rPr>
            </w:pPr>
            <w:r>
              <w:rPr>
                <w:rFonts w:hint="eastAsia" w:ascii="仿宋_GB2312" w:hAnsi="宋体" w:eastAsia="仿宋_GB2312" w:cs="宋体"/>
                <w:spacing w:val="-6"/>
                <w:kern w:val="0"/>
                <w:sz w:val="24"/>
              </w:rPr>
              <w:t>危险化学品建设项目安全条件审查（除港口外）</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建设项目规划许可文件</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《中华人民共和国安全生产法》第三十条、《危险化学品建设项目安全监督管理办法》第十条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spacing w:val="-12"/>
                <w:kern w:val="0"/>
                <w:sz w:val="24"/>
              </w:rPr>
              <w:t>自然资源和规划</w:t>
            </w:r>
            <w:r>
              <w:rPr>
                <w:rFonts w:hint="eastAsia" w:ascii="仿宋_GB2312" w:hAnsi="宋体" w:eastAsia="仿宋_GB2312" w:cs="宋体"/>
                <w:kern w:val="0"/>
                <w:sz w:val="24"/>
              </w:rPr>
              <w:t>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市应急管理局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现场核查</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28</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危险化学品安全生产许可证核发</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为从业人员缴纳工伤保险费的证明材料</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《安全生产许可证条例》第六条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人力社保部门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市应急管理局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现场核查</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29</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烈士直系亲属异地祭扫差旅费、食宿费用等给付</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参与祭扫的烈士直系亲属的户口簿（或其他可证明亲属关系材料）</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《烈士褒扬条例》第三十四条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公安部门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市退役军人事务局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30</w:t>
            </w:r>
          </w:p>
        </w:tc>
        <w:tc>
          <w:tcPr>
            <w:tcW w:w="1700" w:type="dxa"/>
            <w:vMerge w:val="restart"/>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新办评定伤残等级</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交通事故责任认定书</w:t>
            </w:r>
          </w:p>
        </w:tc>
        <w:tc>
          <w:tcPr>
            <w:tcW w:w="2760" w:type="dxa"/>
            <w:vMerge w:val="restart"/>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《伤残抚恤管理办法》第二条、第七条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公安部门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市退役军人事务局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31</w:t>
            </w:r>
          </w:p>
        </w:tc>
        <w:tc>
          <w:tcPr>
            <w:tcW w:w="1700" w:type="dxa"/>
            <w:vMerge w:val="continue"/>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人民警察录用表</w:t>
            </w:r>
          </w:p>
        </w:tc>
        <w:tc>
          <w:tcPr>
            <w:tcW w:w="2760" w:type="dxa"/>
            <w:vMerge w:val="continue"/>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公安部门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市退役军人事务局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32</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部分优抚对象危房改造资金给付</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spacing w:val="-8"/>
                <w:kern w:val="0"/>
                <w:sz w:val="24"/>
              </w:rPr>
            </w:pPr>
            <w:r>
              <w:rPr>
                <w:rFonts w:hint="eastAsia" w:ascii="仿宋_GB2312" w:hAnsi="宋体" w:eastAsia="仿宋_GB2312" w:cs="宋体"/>
                <w:spacing w:val="-8"/>
                <w:kern w:val="0"/>
                <w:sz w:val="24"/>
              </w:rPr>
              <w:t>本人已享受城乡建设与住房保障部门危房改造的材料</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《军人抚恤优待条例》第四十条、《民政部、国土资源部、住房城乡建设部关于印发&lt;优抚对象住房优待办法&gt;的通知》第五条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spacing w:val="-12"/>
                <w:kern w:val="0"/>
                <w:sz w:val="24"/>
              </w:rPr>
              <w:t>住房和城乡建设</w:t>
            </w:r>
            <w:r>
              <w:rPr>
                <w:rFonts w:hint="eastAsia" w:ascii="仿宋_GB2312" w:hAnsi="宋体" w:eastAsia="仿宋_GB2312" w:cs="宋体"/>
                <w:kern w:val="0"/>
                <w:sz w:val="24"/>
              </w:rPr>
              <w:t>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市退役军人事务局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33</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spacing w:val="-6"/>
                <w:kern w:val="0"/>
                <w:sz w:val="24"/>
              </w:rPr>
            </w:pPr>
            <w:r>
              <w:rPr>
                <w:rFonts w:hint="eastAsia" w:ascii="仿宋_GB2312" w:hAnsi="宋体" w:eastAsia="仿宋_GB2312" w:cs="宋体"/>
                <w:spacing w:val="-6"/>
                <w:kern w:val="0"/>
                <w:sz w:val="24"/>
              </w:rPr>
              <w:t>雷电防护装置设计审核（投资类）</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防雷施工图设计文件审查合格书</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《气象灾害防御条例》第二十三条、《雷电防护装置设计审核和竣工验收规定》第七条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图审机构</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市气象局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现场核查</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34</w:t>
            </w:r>
          </w:p>
        </w:tc>
        <w:tc>
          <w:tcPr>
            <w:tcW w:w="17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雷电防护装置竣工验收</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取得防雷装置检测资质的单位出具的《防雷装置检测报告》</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《气象灾害防御条例》第二十三条、《雷电防护装置设计审核和竣工验收规定》第十二条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检测机构</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市气象局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现场核查</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35</w:t>
            </w:r>
          </w:p>
        </w:tc>
        <w:tc>
          <w:tcPr>
            <w:tcW w:w="1700" w:type="dxa"/>
            <w:vMerge w:val="restart"/>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申报享受税收减免</w:t>
            </w: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家庭住房情况证明</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《中华人民共和国税收征收管理法》第二十五条、《中华人民共和国税收征收管理法实施细则》第三十二条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spacing w:val="-12"/>
                <w:kern w:val="0"/>
                <w:sz w:val="24"/>
              </w:rPr>
            </w:pPr>
            <w:r>
              <w:rPr>
                <w:rFonts w:hint="eastAsia" w:ascii="仿宋_GB2312" w:hAnsi="宋体" w:eastAsia="仿宋_GB2312" w:cs="宋体"/>
                <w:spacing w:val="-12"/>
                <w:kern w:val="0"/>
                <w:sz w:val="24"/>
              </w:rPr>
              <w:t>不动产登记中心</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市税务局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r>
        <w:tblPrEx>
          <w:tblCellMar>
            <w:top w:w="0" w:type="dxa"/>
            <w:left w:w="108" w:type="dxa"/>
            <w:bottom w:w="0" w:type="dxa"/>
            <w:right w:w="108" w:type="dxa"/>
          </w:tblCellMar>
        </w:tblPrEx>
        <w:trPr>
          <w:trHeight w:val="1200" w:hRule="atLeast"/>
        </w:trPr>
        <w:tc>
          <w:tcPr>
            <w:tcW w:w="696" w:type="dxa"/>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eastAsia="仿宋_GB2312"/>
                <w:kern w:val="0"/>
                <w:sz w:val="24"/>
              </w:rPr>
            </w:pPr>
            <w:r>
              <w:rPr>
                <w:rFonts w:eastAsia="仿宋_GB2312"/>
                <w:kern w:val="0"/>
                <w:sz w:val="24"/>
              </w:rPr>
              <w:t>36</w:t>
            </w:r>
          </w:p>
        </w:tc>
        <w:tc>
          <w:tcPr>
            <w:tcW w:w="1700" w:type="dxa"/>
            <w:vMerge w:val="continue"/>
            <w:tcBorders>
              <w:top w:val="nil"/>
              <w:left w:val="single" w:color="000000" w:sz="8" w:space="0"/>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c>
          <w:tcPr>
            <w:tcW w:w="280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购买公有住房或集资建房证明</w:t>
            </w:r>
          </w:p>
        </w:tc>
        <w:tc>
          <w:tcPr>
            <w:tcW w:w="2760"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《中华人民共和国契税暂行条例》第六条</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spacing w:val="-12"/>
                <w:kern w:val="0"/>
                <w:sz w:val="24"/>
              </w:rPr>
              <w:t>住房公积金管理</w:t>
            </w:r>
            <w:r>
              <w:rPr>
                <w:rFonts w:hint="eastAsia" w:ascii="仿宋_GB2312" w:hAnsi="宋体" w:eastAsia="仿宋_GB2312" w:cs="宋体"/>
                <w:kern w:val="0"/>
                <w:sz w:val="24"/>
              </w:rPr>
              <w:t>部门</w:t>
            </w:r>
          </w:p>
        </w:tc>
        <w:tc>
          <w:tcPr>
            <w:tcW w:w="1621"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市税务局</w:t>
            </w:r>
          </w:p>
        </w:tc>
        <w:tc>
          <w:tcPr>
            <w:tcW w:w="1158"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部门核验</w:t>
            </w:r>
          </w:p>
        </w:tc>
        <w:tc>
          <w:tcPr>
            <w:tcW w:w="926" w:type="dxa"/>
            <w:tcBorders>
              <w:top w:val="nil"/>
              <w:left w:val="nil"/>
              <w:bottom w:val="single" w:color="000000" w:sz="8" w:space="0"/>
              <w:right w:val="single" w:color="000000" w:sz="8" w:space="0"/>
            </w:tcBorders>
            <w:noWrap w:val="0"/>
            <w:tcMar>
              <w:left w:w="40" w:type="dxa"/>
              <w:right w:w="40" w:type="dxa"/>
            </w:tcMar>
            <w:vAlign w:val="center"/>
          </w:tcPr>
          <w:p>
            <w:pPr>
              <w:widowControl/>
              <w:spacing w:line="300" w:lineRule="exact"/>
              <w:jc w:val="center"/>
              <w:rPr>
                <w:rFonts w:ascii="仿宋_GB2312" w:hAnsi="宋体" w:eastAsia="仿宋_GB2312" w:cs="宋体"/>
                <w:kern w:val="0"/>
                <w:sz w:val="24"/>
              </w:rPr>
            </w:pPr>
          </w:p>
        </w:tc>
      </w:tr>
    </w:tbl>
    <w:p>
      <w:pPr>
        <w:rPr>
          <w:rFonts w:hint="eastAsia" w:ascii="仿宋_GB2312" w:hAnsi="仿宋_GB2312" w:eastAsia="仿宋_GB2312" w:cs="仿宋_GB2312"/>
          <w:sz w:val="24"/>
        </w:rPr>
        <w:sectPr>
          <w:footerReference r:id="rId3" w:type="default"/>
          <w:pgSz w:w="16838" w:h="11906" w:orient="landscape"/>
          <w:pgMar w:top="1644" w:right="1985" w:bottom="1361" w:left="1588" w:header="851" w:footer="1418" w:gutter="0"/>
          <w:cols w:space="720" w:num="1"/>
          <w:docGrid w:type="linesAndChar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1312" w:wrap="around" w:vAnchor="text" w:hAnchor="page" w:x="13649" w:y="100"/>
      <w:rPr>
        <w:rStyle w:val="6"/>
        <w:rFonts w:ascii="宋体" w:hAnsi="宋体"/>
        <w:sz w:val="28"/>
        <w:szCs w:val="28"/>
      </w:rPr>
    </w:pPr>
    <w:r>
      <w:rPr>
        <w:rStyle w:val="6"/>
        <w:rFonts w:hint="eastAsia" w:ascii="宋体" w:hAnsi="宋体"/>
        <w:sz w:val="28"/>
        <w:szCs w:val="28"/>
      </w:rPr>
      <w:t xml:space="preserve">— </w:t>
    </w:r>
    <w:r>
      <w:rPr>
        <w:rStyle w:val="6"/>
        <w:rFonts w:ascii="宋体" w:hAnsi="宋体"/>
        <w:sz w:val="28"/>
        <w:szCs w:val="28"/>
      </w:rPr>
      <w:fldChar w:fldCharType="begin"/>
    </w:r>
    <w:r>
      <w:rPr>
        <w:rStyle w:val="6"/>
        <w:rFonts w:ascii="宋体" w:hAnsi="宋体"/>
        <w:sz w:val="28"/>
        <w:szCs w:val="28"/>
      </w:rPr>
      <w:instrText xml:space="preserve">PAGE  </w:instrText>
    </w:r>
    <w:r>
      <w:rPr>
        <w:rStyle w:val="6"/>
        <w:rFonts w:ascii="宋体" w:hAnsi="宋体"/>
        <w:sz w:val="28"/>
        <w:szCs w:val="28"/>
      </w:rPr>
      <w:fldChar w:fldCharType="separate"/>
    </w:r>
    <w:r>
      <w:rPr>
        <w:rStyle w:val="6"/>
        <w:rFonts w:ascii="宋体" w:hAnsi="宋体"/>
        <w:sz w:val="28"/>
        <w:szCs w:val="28"/>
      </w:rPr>
      <w:t>3</w:t>
    </w:r>
    <w:r>
      <w:rPr>
        <w:rStyle w:val="6"/>
        <w:rFonts w:ascii="宋体" w:hAnsi="宋体"/>
        <w:sz w:val="28"/>
        <w:szCs w:val="28"/>
      </w:rPr>
      <w:fldChar w:fldCharType="end"/>
    </w:r>
    <w:r>
      <w:rPr>
        <w:rStyle w:val="6"/>
        <w:rFonts w:hint="eastAsia" w:ascii="宋体" w:hAnsi="宋体"/>
        <w:sz w:val="28"/>
        <w:szCs w:val="28"/>
      </w:rPr>
      <w:t xml:space="preserve"> —</w:t>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0F6455"/>
    <w:rsid w:val="7E0F6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590" w:lineRule="exact"/>
    </w:pPr>
    <w:rPr>
      <w:rFonts w:eastAsia="仿宋_GB2312"/>
      <w:spacing w:val="-6"/>
      <w:sz w:val="32"/>
      <w:szCs w:val="20"/>
    </w:rPr>
  </w:style>
  <w:style w:type="paragraph" w:styleId="3">
    <w:name w:val="footer"/>
    <w:basedOn w:val="1"/>
    <w:uiPriority w:val="0"/>
    <w:pPr>
      <w:tabs>
        <w:tab w:val="center" w:pos="4153"/>
        <w:tab w:val="right" w:pos="8306"/>
      </w:tabs>
      <w:snapToGrid w:val="0"/>
      <w:jc w:val="left"/>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2021-08-04T07:35:00Z</dcterms:created>
  <dc:creator>Administrator</dc:creator>
  <cp:lastModifiedBy>Administrator</cp:lastModifiedBy>
  <dcterms:modified xsi:type="dcterms:W3CDTF">2021-08-04T07:35:36Z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46073D808D52485BA7FB8EED9613ECE9</vt:lpwstr>
  </property>
</Properties>
</file>