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rPr>
      </w:pPr>
      <w:r>
        <w:rPr>
          <w:rFonts w:hint="eastAsia" w:ascii="仿宋" w:hAnsi="仿宋" w:eastAsia="仿宋" w:cs="仿宋"/>
          <w:b/>
          <w:bCs/>
          <w:sz w:val="36"/>
          <w:szCs w:val="36"/>
        </w:rPr>
        <w:t>《义乌市2021年农用地基准地价和城镇国有建设用地标定地价评估》起草说明</w:t>
      </w:r>
    </w:p>
    <w:p>
      <w:pPr>
        <w:rPr>
          <w:sz w:val="44"/>
          <w:szCs w:val="44"/>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一、起草背景</w:t>
      </w:r>
    </w:p>
    <w:p>
      <w:pPr>
        <w:ind w:firstLine="64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根据《自然资源部办公厅关于部署开展2019年度自然资源评价评估工作的通知》（自然资办发〔2019〕36号）有关规定，为加快建立全国政府公示自然资源价格体系，完善自然资源分等定级价格评估与监测，促进自然资源保护与合理开发利用，各省级自然资源主管部门要组织本行政区域内所有市（县）启动城镇标定地价公示工作和农用地基准地价制订工作。</w:t>
      </w:r>
    </w:p>
    <w:p>
      <w:pPr>
        <w:pStyle w:val="2"/>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二、主要过程</w:t>
      </w:r>
    </w:p>
    <w:p>
      <w:pPr>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2020年8月，义乌市自然资源和规划局以公开招投标形式确定杭州中立房地产土地评估规划咨询有限公司开展城镇基准地价更新、农用地基准地价制订和标定地价体系建设评估工作，相关科室全力配合。作业单位根据《城镇土地分等定级规程》、《城镇土地估价规程》、《农用地定级规程》、《农用地估价规程》、《标定地价规程》及相关政策文件要求，进行了资料调查收集、内业处理测算等工作，完成了《义乌市2021年农用地基准地价成果》、《义乌市2021年城镇国有建设用地标定地价成果》。该方案已充分征求义乌市自然资源和规划局相关科室和专业人员意见，进行反复、多次的讨论，为广泛听取社会公众意见，2021年7月21日-2021年8月21日，义乌市自然资源和规划局对农用地基准地价和标定地价成果在义乌政府门户网站公开征求意见，并进行修改完善。2021年10月15日，金华市自然资源和规划局组织有关领导、专家对农用地基准地价和标定地价工作进行验收，并顺利通过，成果符合要求。</w:t>
      </w:r>
    </w:p>
    <w:p>
      <w:pPr>
        <w:ind w:firstLine="560" w:firstLineChars="200"/>
        <w:rPr>
          <w:rFonts w:ascii="仿宋_GB2312" w:hAnsi="Times New Roman" w:eastAsia="仿宋_GB2312" w:cs="宋体"/>
          <w:kern w:val="0"/>
          <w:sz w:val="28"/>
          <w:szCs w:val="28"/>
        </w:rPr>
      </w:pP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三、主要内容</w:t>
      </w:r>
    </w:p>
    <w:p>
      <w:pPr>
        <w:adjustRightInd w:val="0"/>
        <w:snapToGrid w:val="0"/>
        <w:spacing w:line="360" w:lineRule="auto"/>
        <w:ind w:firstLine="562" w:firstLineChars="200"/>
        <w:rPr>
          <w:rFonts w:ascii="仿宋_GB2312" w:hAnsi="Times New Roman" w:eastAsia="仿宋_GB2312" w:cs="宋体"/>
          <w:b/>
          <w:bCs/>
          <w:kern w:val="0"/>
          <w:sz w:val="28"/>
          <w:szCs w:val="28"/>
        </w:rPr>
      </w:pPr>
      <w:r>
        <w:rPr>
          <w:rFonts w:hint="eastAsia" w:ascii="仿宋_GB2312" w:hAnsi="Times New Roman" w:eastAsia="仿宋_GB2312" w:cs="宋体"/>
          <w:b/>
          <w:bCs/>
          <w:kern w:val="0"/>
          <w:sz w:val="28"/>
          <w:szCs w:val="28"/>
        </w:rPr>
        <w:t>（一）农用地基准地价</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1、基准地价内涵界定：</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（1）基准地价基准日：2021年1月1日。</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2）土地权利：通过发包（承包）、互换、转让、转包等方式获取的农用地使用权，是对应一定年期下的用益物权，该用益物权可进一步分离形成承包经营权和经营权。农村土地承包采取农村集体经济组织内部的家庭承包方式，承包方承包土地后，享有土地承包经营权，可以自己经营，也可以保留土地承包权，流转其承包地的土地经营权，由他人经营。</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根据《农村集体土地价格评估技术指引》,在集体耕地基准地价成果中，地价内涵对应的权利类型至少应包括承包经营权价格、经营权价格。故本次基准地价成果设定承包经营权和经营权二种土地权利类型。</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（3）用地类型：耕地、园地、林地、陆地水域（坑塘水面）以及草地（其他草地）。</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（4）土地权利年限：耕地、园地、陆地水域（坑塘水面）以及草地（其他草地）30年，林地70年。</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（5）耕作制度和农田基本设施状况：以达到具有普遍性、适宜性的耕作制度下各类农用地农田基本设施的平均状况为依据进行界定。（详见表1）</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（6）地价内涵构成：包含土地原始取得费、达到设定农田基本设施状况下的土地开发费和土地增值收益，不包括现状已生长的植物，以及大棚或工厂化设施等的费用。</w:t>
      </w:r>
    </w:p>
    <w:p>
      <w:pPr>
        <w:adjustRightInd w:val="0"/>
        <w:snapToGrid w:val="0"/>
        <w:spacing w:after="156" w:afterLines="50" w:line="440" w:lineRule="exact"/>
        <w:jc w:val="center"/>
        <w:rPr>
          <w:rFonts w:ascii="仿宋" w:hAnsi="仿宋" w:eastAsia="仿宋" w:cs="仿宋"/>
          <w:b/>
          <w:bCs/>
          <w:kern w:val="0"/>
          <w:sz w:val="28"/>
          <w:szCs w:val="28"/>
        </w:rPr>
      </w:pPr>
      <w:r>
        <w:rPr>
          <w:rFonts w:hint="eastAsia" w:ascii="仿宋" w:hAnsi="仿宋" w:eastAsia="仿宋" w:cs="仿宋"/>
          <w:b/>
          <w:bCs/>
          <w:kern w:val="0"/>
          <w:sz w:val="28"/>
          <w:szCs w:val="28"/>
        </w:rPr>
        <w:t>表1  义乌市农用地基准地价内涵界定一览表</w:t>
      </w:r>
    </w:p>
    <w:tbl>
      <w:tblPr>
        <w:tblStyle w:val="27"/>
        <w:tblW w:w="0" w:type="auto"/>
        <w:jc w:val="center"/>
        <w:tblLayout w:type="fixed"/>
        <w:tblCellMar>
          <w:top w:w="0" w:type="dxa"/>
          <w:left w:w="0" w:type="dxa"/>
          <w:bottom w:w="0" w:type="dxa"/>
          <w:right w:w="0" w:type="dxa"/>
        </w:tblCellMar>
      </w:tblPr>
      <w:tblGrid>
        <w:gridCol w:w="720"/>
        <w:gridCol w:w="880"/>
        <w:gridCol w:w="880"/>
        <w:gridCol w:w="1486"/>
        <w:gridCol w:w="3180"/>
        <w:gridCol w:w="1361"/>
        <w:gridCol w:w="759"/>
      </w:tblGrid>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b/>
                <w:sz w:val="24"/>
              </w:rPr>
            </w:pPr>
            <w:r>
              <w:rPr>
                <w:rFonts w:hint="eastAsia" w:ascii="仿宋" w:hAnsi="仿宋" w:eastAsia="仿宋" w:cs="仿宋"/>
                <w:b/>
                <w:kern w:val="0"/>
                <w:sz w:val="24"/>
                <w:lang w:bidi="ar"/>
              </w:rPr>
              <w:t>用地类型</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b/>
                <w:sz w:val="24"/>
              </w:rPr>
            </w:pPr>
            <w:r>
              <w:rPr>
                <w:rFonts w:hint="eastAsia" w:ascii="仿宋" w:hAnsi="仿宋" w:eastAsia="仿宋" w:cs="仿宋"/>
                <w:b/>
                <w:kern w:val="0"/>
                <w:sz w:val="24"/>
                <w:lang w:bidi="ar"/>
              </w:rPr>
              <w:t>细分用地类型</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b/>
                <w:sz w:val="24"/>
              </w:rPr>
            </w:pPr>
            <w:r>
              <w:rPr>
                <w:rFonts w:hint="eastAsia" w:ascii="仿宋" w:hAnsi="仿宋" w:eastAsia="仿宋" w:cs="仿宋"/>
                <w:b/>
                <w:kern w:val="0"/>
                <w:sz w:val="24"/>
                <w:lang w:bidi="ar"/>
              </w:rPr>
              <w:t>土地权利年限</w:t>
            </w:r>
          </w:p>
        </w:tc>
        <w:tc>
          <w:tcPr>
            <w:tcW w:w="1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b/>
                <w:sz w:val="24"/>
              </w:rPr>
            </w:pPr>
            <w:r>
              <w:rPr>
                <w:rFonts w:hint="eastAsia" w:ascii="仿宋" w:hAnsi="仿宋" w:eastAsia="仿宋" w:cs="仿宋"/>
                <w:b/>
                <w:kern w:val="0"/>
                <w:sz w:val="24"/>
                <w:lang w:bidi="ar"/>
              </w:rPr>
              <w:t>耕作制度</w:t>
            </w:r>
          </w:p>
        </w:tc>
        <w:tc>
          <w:tcPr>
            <w:tcW w:w="31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b/>
                <w:sz w:val="24"/>
              </w:rPr>
            </w:pPr>
            <w:r>
              <w:rPr>
                <w:rFonts w:hint="eastAsia" w:ascii="仿宋" w:hAnsi="仿宋" w:eastAsia="仿宋" w:cs="仿宋"/>
                <w:b/>
                <w:kern w:val="0"/>
                <w:sz w:val="24"/>
                <w:lang w:bidi="ar"/>
              </w:rPr>
              <w:t>农田基础设施状况</w:t>
            </w:r>
          </w:p>
        </w:tc>
        <w:tc>
          <w:tcPr>
            <w:tcW w:w="1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b/>
                <w:kern w:val="0"/>
                <w:sz w:val="24"/>
                <w:lang w:bidi="ar"/>
              </w:rPr>
            </w:pPr>
            <w:r>
              <w:rPr>
                <w:rFonts w:hint="eastAsia" w:ascii="仿宋" w:hAnsi="仿宋" w:eastAsia="仿宋" w:cs="仿宋"/>
                <w:b/>
                <w:kern w:val="0"/>
                <w:sz w:val="24"/>
                <w:lang w:bidi="ar"/>
              </w:rPr>
              <w:t>土地权利</w:t>
            </w:r>
          </w:p>
        </w:tc>
        <w:tc>
          <w:tcPr>
            <w:tcW w:w="7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b/>
                <w:sz w:val="24"/>
              </w:rPr>
            </w:pPr>
            <w:r>
              <w:rPr>
                <w:rFonts w:hint="eastAsia" w:ascii="仿宋" w:hAnsi="仿宋" w:eastAsia="仿宋" w:cs="仿宋"/>
                <w:b/>
                <w:kern w:val="0"/>
                <w:sz w:val="24"/>
                <w:lang w:bidi="ar"/>
              </w:rPr>
              <w:t>基准日</w:t>
            </w:r>
          </w:p>
        </w:tc>
      </w:tr>
      <w:tr>
        <w:tblPrEx>
          <w:tblCellMar>
            <w:top w:w="0" w:type="dxa"/>
            <w:left w:w="0" w:type="dxa"/>
            <w:bottom w:w="0" w:type="dxa"/>
            <w:right w:w="0" w:type="dxa"/>
          </w:tblCellMar>
        </w:tblPrEx>
        <w:trPr>
          <w:trHeight w:val="454"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耕地</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30</w:t>
            </w:r>
          </w:p>
        </w:tc>
        <w:tc>
          <w:tcPr>
            <w:tcW w:w="1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油菜-水稻，一年二熟</w:t>
            </w:r>
          </w:p>
        </w:tc>
        <w:tc>
          <w:tcPr>
            <w:tcW w:w="31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宗地外道路通达、有水源保障，宗地内有基本的排水与灌溉设施、田间道路密度适中</w:t>
            </w:r>
          </w:p>
        </w:tc>
        <w:tc>
          <w:tcPr>
            <w:tcW w:w="1361"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kern w:val="0"/>
                <w:sz w:val="24"/>
                <w:lang w:bidi="ar"/>
              </w:rPr>
            </w:pPr>
            <w:r>
              <w:rPr>
                <w:rFonts w:hint="eastAsia" w:ascii="仿宋" w:hAnsi="仿宋" w:eastAsia="仿宋" w:cs="仿宋"/>
                <w:sz w:val="24"/>
              </w:rPr>
              <w:t>承包经营权/经营权</w:t>
            </w:r>
          </w:p>
        </w:tc>
        <w:tc>
          <w:tcPr>
            <w:tcW w:w="75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2021年1月1日</w:t>
            </w:r>
          </w:p>
        </w:tc>
      </w:tr>
      <w:tr>
        <w:tblPrEx>
          <w:tblCellMar>
            <w:top w:w="0" w:type="dxa"/>
            <w:left w:w="0" w:type="dxa"/>
            <w:bottom w:w="0" w:type="dxa"/>
            <w:right w:w="0" w:type="dxa"/>
          </w:tblCellMar>
        </w:tblPrEx>
        <w:trPr>
          <w:trHeight w:val="454"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园地</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30</w:t>
            </w:r>
          </w:p>
        </w:tc>
        <w:tc>
          <w:tcPr>
            <w:tcW w:w="1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果树、茶树、桑树等多年生作物</w:t>
            </w:r>
          </w:p>
        </w:tc>
        <w:tc>
          <w:tcPr>
            <w:tcW w:w="31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宗地外道路通达，宗地内道路密度适中</w:t>
            </w:r>
          </w:p>
        </w:tc>
        <w:tc>
          <w:tcPr>
            <w:tcW w:w="1361" w:type="dxa"/>
            <w:vMerge w:val="continue"/>
            <w:tcBorders>
              <w:left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kern w:val="0"/>
                <w:sz w:val="24"/>
                <w:lang w:bidi="ar"/>
              </w:rPr>
            </w:pPr>
          </w:p>
        </w:tc>
        <w:tc>
          <w:tcPr>
            <w:tcW w:w="7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仿宋" w:hAnsi="仿宋" w:eastAsia="仿宋" w:cs="仿宋"/>
                <w:sz w:val="24"/>
              </w:rPr>
            </w:pPr>
          </w:p>
        </w:tc>
      </w:tr>
      <w:tr>
        <w:tblPrEx>
          <w:tblCellMar>
            <w:top w:w="0" w:type="dxa"/>
            <w:left w:w="0" w:type="dxa"/>
            <w:bottom w:w="0" w:type="dxa"/>
            <w:right w:w="0" w:type="dxa"/>
          </w:tblCellMar>
        </w:tblPrEx>
        <w:trPr>
          <w:trHeight w:val="454" w:hRule="atLeast"/>
          <w:jc w:val="center"/>
        </w:trPr>
        <w:tc>
          <w:tcPr>
            <w:tcW w:w="160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林地</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70</w:t>
            </w:r>
          </w:p>
        </w:tc>
        <w:tc>
          <w:tcPr>
            <w:tcW w:w="1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乔木、竹类、灌木等林木</w:t>
            </w:r>
          </w:p>
        </w:tc>
        <w:tc>
          <w:tcPr>
            <w:tcW w:w="31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宗地外道路通达</w:t>
            </w:r>
          </w:p>
        </w:tc>
        <w:tc>
          <w:tcPr>
            <w:tcW w:w="1361" w:type="dxa"/>
            <w:vMerge w:val="continue"/>
            <w:tcBorders>
              <w:left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kern w:val="0"/>
                <w:sz w:val="24"/>
                <w:lang w:bidi="ar"/>
              </w:rPr>
            </w:pPr>
          </w:p>
        </w:tc>
        <w:tc>
          <w:tcPr>
            <w:tcW w:w="7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仿宋" w:hAnsi="仿宋" w:eastAsia="仿宋" w:cs="仿宋"/>
                <w:sz w:val="24"/>
              </w:rPr>
            </w:pPr>
          </w:p>
        </w:tc>
      </w:tr>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陆地水域</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坑塘水面</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30</w:t>
            </w:r>
          </w:p>
        </w:tc>
        <w:tc>
          <w:tcPr>
            <w:tcW w:w="1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养殖鱼虾</w:t>
            </w:r>
          </w:p>
        </w:tc>
        <w:tc>
          <w:tcPr>
            <w:tcW w:w="31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宗地外道路通达，宗地内通电、有基本的排水与引水设施</w:t>
            </w:r>
          </w:p>
        </w:tc>
        <w:tc>
          <w:tcPr>
            <w:tcW w:w="1361" w:type="dxa"/>
            <w:vMerge w:val="continue"/>
            <w:tcBorders>
              <w:left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kern w:val="0"/>
                <w:sz w:val="24"/>
                <w:lang w:bidi="ar"/>
              </w:rPr>
            </w:pPr>
          </w:p>
        </w:tc>
        <w:tc>
          <w:tcPr>
            <w:tcW w:w="7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仿宋" w:hAnsi="仿宋" w:eastAsia="仿宋" w:cs="仿宋"/>
                <w:sz w:val="24"/>
              </w:rPr>
            </w:pPr>
          </w:p>
        </w:tc>
      </w:tr>
      <w:tr>
        <w:tblPrEx>
          <w:tblCellMar>
            <w:top w:w="0" w:type="dxa"/>
            <w:left w:w="0" w:type="dxa"/>
            <w:bottom w:w="0" w:type="dxa"/>
            <w:right w:w="0" w:type="dxa"/>
          </w:tblCellMar>
        </w:tblPrEx>
        <w:trPr>
          <w:trHeight w:val="454" w:hRule="atLeast"/>
          <w:jc w:val="center"/>
        </w:trPr>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草地</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其他草地</w:t>
            </w:r>
          </w:p>
        </w:tc>
        <w:tc>
          <w:tcPr>
            <w:tcW w:w="8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30</w:t>
            </w:r>
          </w:p>
        </w:tc>
        <w:tc>
          <w:tcPr>
            <w:tcW w:w="148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w:t>
            </w:r>
          </w:p>
        </w:tc>
        <w:tc>
          <w:tcPr>
            <w:tcW w:w="31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sz w:val="24"/>
              </w:rPr>
            </w:pPr>
            <w:r>
              <w:rPr>
                <w:rFonts w:hint="eastAsia" w:ascii="仿宋" w:hAnsi="仿宋" w:eastAsia="仿宋" w:cs="仿宋"/>
                <w:kern w:val="0"/>
                <w:sz w:val="24"/>
                <w:lang w:bidi="ar"/>
              </w:rPr>
              <w:t>宗地外道路通达</w:t>
            </w:r>
          </w:p>
        </w:tc>
        <w:tc>
          <w:tcPr>
            <w:tcW w:w="1361"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textAlignment w:val="center"/>
              <w:rPr>
                <w:rFonts w:ascii="仿宋" w:hAnsi="仿宋" w:eastAsia="仿宋" w:cs="仿宋"/>
                <w:kern w:val="0"/>
                <w:sz w:val="24"/>
                <w:lang w:bidi="ar"/>
              </w:rPr>
            </w:pPr>
          </w:p>
        </w:tc>
        <w:tc>
          <w:tcPr>
            <w:tcW w:w="75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00" w:lineRule="exact"/>
              <w:jc w:val="center"/>
              <w:rPr>
                <w:rFonts w:ascii="仿宋" w:hAnsi="仿宋" w:eastAsia="仿宋" w:cs="仿宋"/>
                <w:sz w:val="24"/>
              </w:rPr>
            </w:pPr>
          </w:p>
        </w:tc>
      </w:tr>
    </w:tbl>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2、基准地价级别范围：本次义乌市农用地基准地价以行政村为定级单元，共划分为四个级别，评估范围为义乌市行政区内现有农用地和宜农未利用地，具体包括辖区内的耕地、园地、林地、陆地水域（坑塘水面）以及草地（其他草地），合计面积为83343.2153公顷。</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3、基准地价价格水平：依据近几年义乌市农用地市场价格的实际变化，评估基准地价价格水平。</w:t>
      </w:r>
    </w:p>
    <w:p>
      <w:pPr>
        <w:adjustRightInd w:val="0"/>
        <w:snapToGrid w:val="0"/>
        <w:spacing w:line="360" w:lineRule="auto"/>
        <w:ind w:firstLine="562" w:firstLineChars="200"/>
        <w:rPr>
          <w:rFonts w:ascii="仿宋_GB2312" w:hAnsi="Times New Roman" w:eastAsia="仿宋_GB2312" w:cs="宋体"/>
          <w:b/>
          <w:bCs/>
          <w:kern w:val="0"/>
          <w:sz w:val="28"/>
          <w:szCs w:val="28"/>
        </w:rPr>
      </w:pPr>
      <w:r>
        <w:rPr>
          <w:rFonts w:hint="eastAsia" w:ascii="仿宋_GB2312" w:hAnsi="Times New Roman" w:eastAsia="仿宋_GB2312" w:cs="宋体"/>
          <w:b/>
          <w:bCs/>
          <w:kern w:val="0"/>
          <w:sz w:val="28"/>
          <w:szCs w:val="28"/>
        </w:rPr>
        <w:t>（二）城镇国有建设用地标定地价</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1、内涵界定：</w:t>
      </w:r>
    </w:p>
    <w:p>
      <w:pPr>
        <w:adjustRightInd w:val="0"/>
        <w:snapToGrid w:val="0"/>
        <w:spacing w:line="360" w:lineRule="auto"/>
        <w:ind w:firstLine="560" w:firstLineChars="200"/>
        <w:rPr>
          <w:rFonts w:hint="eastAsia" w:ascii="仿宋_GB2312" w:hAnsi="Times New Roman" w:eastAsia="仿宋_GB2312" w:cs="宋体"/>
          <w:kern w:val="0"/>
          <w:sz w:val="28"/>
          <w:szCs w:val="28"/>
          <w:lang w:eastAsia="zh-CN"/>
        </w:rPr>
      </w:pPr>
      <w:r>
        <w:rPr>
          <w:rFonts w:hint="eastAsia" w:ascii="仿宋_GB2312" w:hAnsi="Times New Roman" w:eastAsia="仿宋_GB2312" w:cs="宋体"/>
          <w:kern w:val="0"/>
          <w:sz w:val="28"/>
          <w:szCs w:val="28"/>
        </w:rPr>
        <w:t>（1）估价期日：2021年1月1日</w:t>
      </w:r>
      <w:r>
        <w:rPr>
          <w:rFonts w:hint="eastAsia" w:ascii="仿宋_GB2312" w:hAnsi="Times New Roman" w:eastAsia="仿宋_GB2312" w:cs="宋体"/>
          <w:kern w:val="0"/>
          <w:sz w:val="28"/>
          <w:szCs w:val="28"/>
          <w:lang w:eastAsia="zh-CN"/>
        </w:rPr>
        <w:t>。</w:t>
      </w:r>
    </w:p>
    <w:p>
      <w:pPr>
        <w:adjustRightInd w:val="0"/>
        <w:snapToGrid w:val="0"/>
        <w:spacing w:line="360" w:lineRule="auto"/>
        <w:ind w:firstLine="560" w:firstLineChars="200"/>
        <w:rPr>
          <w:rFonts w:hint="eastAsia" w:ascii="仿宋_GB2312" w:hAnsi="Times New Roman" w:eastAsia="仿宋_GB2312" w:cs="宋体"/>
          <w:kern w:val="0"/>
          <w:sz w:val="28"/>
          <w:szCs w:val="28"/>
          <w:lang w:eastAsia="zh-CN"/>
        </w:rPr>
      </w:pPr>
      <w:r>
        <w:rPr>
          <w:rFonts w:hint="eastAsia" w:ascii="仿宋_GB2312" w:hAnsi="Times New Roman" w:eastAsia="仿宋_GB2312" w:cs="宋体"/>
          <w:kern w:val="0"/>
          <w:sz w:val="28"/>
          <w:szCs w:val="28"/>
        </w:rPr>
        <w:t>（2）宗地条件及权利特征：现状开发利用、正常市场条件下的完整的出让或划拨土地使用权价格</w:t>
      </w:r>
      <w:r>
        <w:rPr>
          <w:rFonts w:hint="eastAsia" w:ascii="仿宋_GB2312" w:hAnsi="Times New Roman" w:eastAsia="仿宋_GB2312" w:cs="宋体"/>
          <w:kern w:val="0"/>
          <w:sz w:val="28"/>
          <w:szCs w:val="28"/>
          <w:lang w:eastAsia="zh-CN"/>
        </w:rPr>
        <w:t>。</w:t>
      </w:r>
    </w:p>
    <w:p>
      <w:pPr>
        <w:adjustRightInd w:val="0"/>
        <w:snapToGrid w:val="0"/>
        <w:spacing w:line="360" w:lineRule="auto"/>
        <w:ind w:firstLine="560" w:firstLineChars="200"/>
        <w:rPr>
          <w:rFonts w:hint="eastAsia" w:ascii="仿宋_GB2312" w:hAnsi="Times New Roman" w:eastAsia="仿宋" w:cs="宋体"/>
          <w:kern w:val="0"/>
          <w:sz w:val="28"/>
          <w:szCs w:val="28"/>
          <w:lang w:eastAsia="zh-CN"/>
        </w:rPr>
      </w:pPr>
      <w:r>
        <w:rPr>
          <w:rFonts w:hint="eastAsia" w:ascii="仿宋_GB2312" w:hAnsi="Times New Roman" w:eastAsia="仿宋_GB2312" w:cs="宋体"/>
          <w:kern w:val="0"/>
          <w:sz w:val="28"/>
          <w:szCs w:val="28"/>
        </w:rPr>
        <w:t>（3）</w:t>
      </w:r>
      <w:r>
        <w:rPr>
          <w:rFonts w:hint="eastAsia" w:ascii="仿宋" w:hAnsi="仿宋" w:eastAsia="仿宋" w:cs="Times New Roman"/>
          <w:sz w:val="28"/>
          <w:szCs w:val="28"/>
        </w:rPr>
        <w:t>土地用途：依据标准宗地合法的现状条件设定：标准宗地的土地用途以证载用途为准，主要分为住宅用地、商住混合用地、商服用地、工业仓储用地和公服用地</w:t>
      </w:r>
      <w:r>
        <w:rPr>
          <w:rFonts w:hint="eastAsia" w:ascii="仿宋" w:hAnsi="仿宋" w:eastAsia="仿宋" w:cs="Times New Roman"/>
          <w:sz w:val="28"/>
          <w:szCs w:val="28"/>
          <w:lang w:eastAsia="zh-CN"/>
        </w:rPr>
        <w:t>。</w:t>
      </w:r>
    </w:p>
    <w:p>
      <w:pPr>
        <w:adjustRightInd w:val="0"/>
        <w:snapToGrid w:val="0"/>
        <w:spacing w:line="360" w:lineRule="auto"/>
        <w:ind w:firstLine="560" w:firstLineChars="200"/>
        <w:rPr>
          <w:rFonts w:hint="eastAsia" w:ascii="仿宋_GB2312" w:hAnsi="Times New Roman" w:eastAsia="仿宋_GB2312" w:cs="宋体"/>
          <w:kern w:val="0"/>
          <w:sz w:val="28"/>
          <w:szCs w:val="28"/>
          <w:lang w:eastAsia="zh-CN"/>
        </w:rPr>
      </w:pPr>
      <w:r>
        <w:rPr>
          <w:rFonts w:hint="eastAsia" w:ascii="仿宋_GB2312" w:hAnsi="Times New Roman" w:eastAsia="仿宋_GB2312" w:cs="宋体"/>
          <w:kern w:val="0"/>
          <w:sz w:val="28"/>
          <w:szCs w:val="28"/>
        </w:rPr>
        <w:t>（4）土地使用年限：出让土地的使用年期按各用途的法定最高年期设定，即商服用地40年、住宅用地70年、工业仓储用地50年和公服用地50年，划拨土地使用年期按无限制设定</w:t>
      </w:r>
      <w:r>
        <w:rPr>
          <w:rFonts w:hint="eastAsia" w:ascii="仿宋_GB2312" w:hAnsi="Times New Roman" w:eastAsia="仿宋_GB2312" w:cs="宋体"/>
          <w:kern w:val="0"/>
          <w:sz w:val="28"/>
          <w:szCs w:val="28"/>
          <w:lang w:eastAsia="zh-CN"/>
        </w:rPr>
        <w:t>。</w:t>
      </w:r>
    </w:p>
    <w:p>
      <w:pPr>
        <w:adjustRightInd w:val="0"/>
        <w:snapToGrid w:val="0"/>
        <w:spacing w:line="360" w:lineRule="auto"/>
        <w:ind w:firstLine="560" w:firstLineChars="200"/>
        <w:rPr>
          <w:rFonts w:hint="eastAsia" w:ascii="仿宋_GB2312" w:hAnsi="Times New Roman" w:eastAsia="仿宋_GB2312" w:cs="宋体"/>
          <w:kern w:val="0"/>
          <w:sz w:val="28"/>
          <w:szCs w:val="28"/>
          <w:lang w:eastAsia="zh-CN"/>
        </w:rPr>
      </w:pPr>
      <w:r>
        <w:rPr>
          <w:rFonts w:hint="eastAsia" w:ascii="仿宋_GB2312" w:hAnsi="Times New Roman" w:eastAsia="仿宋_GB2312" w:cs="宋体"/>
          <w:kern w:val="0"/>
          <w:sz w:val="28"/>
          <w:szCs w:val="28"/>
        </w:rPr>
        <w:t>（5）容积率：已建成的标准宗地按实际容积率设定，未建成的标准宗地按出让容积率设定</w:t>
      </w:r>
      <w:r>
        <w:rPr>
          <w:rFonts w:hint="eastAsia" w:ascii="仿宋_GB2312" w:hAnsi="Times New Roman" w:eastAsia="仿宋_GB2312" w:cs="宋体"/>
          <w:kern w:val="0"/>
          <w:sz w:val="28"/>
          <w:szCs w:val="28"/>
          <w:lang w:eastAsia="zh-CN"/>
        </w:rPr>
        <w:t>。</w:t>
      </w:r>
    </w:p>
    <w:p>
      <w:pPr>
        <w:adjustRightInd w:val="0"/>
        <w:snapToGrid w:val="0"/>
        <w:spacing w:line="360" w:lineRule="auto"/>
        <w:ind w:firstLine="560" w:firstLineChars="200"/>
        <w:rPr>
          <w:rFonts w:hint="eastAsia" w:ascii="仿宋" w:hAnsi="仿宋" w:eastAsia="仿宋" w:cs="Times New Roman"/>
          <w:sz w:val="28"/>
          <w:szCs w:val="28"/>
          <w:lang w:eastAsia="zh-CN"/>
        </w:rPr>
      </w:pPr>
      <w:r>
        <w:rPr>
          <w:rFonts w:hint="eastAsia" w:ascii="仿宋_GB2312" w:hAnsi="Times New Roman" w:eastAsia="仿宋_GB2312" w:cs="宋体"/>
          <w:kern w:val="0"/>
          <w:sz w:val="28"/>
          <w:szCs w:val="28"/>
        </w:rPr>
        <w:t>（6）</w:t>
      </w:r>
      <w:r>
        <w:rPr>
          <w:rFonts w:hint="eastAsia" w:ascii="仿宋" w:hAnsi="仿宋" w:eastAsia="仿宋" w:cs="Times New Roman"/>
          <w:sz w:val="28"/>
          <w:szCs w:val="28"/>
        </w:rPr>
        <w:t>开发程度：五通一平（宗地红线外通上水、通下水、通电、通路、通讯，宗地红线内场地平整）</w:t>
      </w:r>
      <w:r>
        <w:rPr>
          <w:rFonts w:hint="eastAsia" w:ascii="仿宋" w:hAnsi="仿宋" w:eastAsia="仿宋" w:cs="Times New Roman"/>
          <w:sz w:val="28"/>
          <w:szCs w:val="28"/>
          <w:lang w:eastAsia="zh-CN"/>
        </w:rPr>
        <w:t>。</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w:t>
      </w:r>
      <w:r>
        <w:rPr>
          <w:rFonts w:ascii="仿宋_GB2312" w:hAnsi="Times New Roman" w:eastAsia="仿宋_GB2312" w:cs="宋体"/>
          <w:kern w:val="0"/>
          <w:sz w:val="28"/>
          <w:szCs w:val="28"/>
        </w:rPr>
        <w:t>7</w:t>
      </w:r>
      <w:r>
        <w:rPr>
          <w:rFonts w:hint="eastAsia" w:ascii="仿宋_GB2312" w:hAnsi="Times New Roman" w:eastAsia="仿宋_GB2312" w:cs="宋体"/>
          <w:kern w:val="0"/>
          <w:sz w:val="28"/>
          <w:szCs w:val="28"/>
        </w:rPr>
        <w:t>）价格表现形式：住宅用地、商住混合用地与商服用地为平均楼面地价和单位面积地价，工业仓储用地和公服用地为单位面积地价。</w:t>
      </w:r>
      <w:bookmarkStart w:id="0" w:name="_GoBack"/>
      <w:bookmarkEnd w:id="0"/>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2、公示范围：</w:t>
      </w:r>
    </w:p>
    <w:p>
      <w:pPr>
        <w:adjustRightInd w:val="0"/>
        <w:snapToGrid w:val="0"/>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根据义乌市市场发育程度和政府服务监管需求，结合义乌市不同用途自身的空间分布及规划空间分布特征，</w:t>
      </w:r>
      <w:r>
        <w:rPr>
          <w:rFonts w:ascii="仿宋" w:hAnsi="仿宋" w:eastAsia="仿宋" w:cs="Times New Roman"/>
          <w:sz w:val="28"/>
          <w:szCs w:val="28"/>
        </w:rPr>
        <w:t>并参考城镇土地定级及基准地价更新范围，确定</w:t>
      </w:r>
      <w:r>
        <w:rPr>
          <w:rFonts w:hint="eastAsia" w:ascii="仿宋" w:hAnsi="仿宋" w:eastAsia="仿宋" w:cs="Times New Roman"/>
          <w:sz w:val="28"/>
          <w:szCs w:val="28"/>
        </w:rPr>
        <w:t>各用途</w:t>
      </w:r>
      <w:r>
        <w:rPr>
          <w:rFonts w:ascii="仿宋" w:hAnsi="仿宋" w:eastAsia="仿宋" w:cs="Times New Roman"/>
          <w:sz w:val="28"/>
          <w:szCs w:val="28"/>
        </w:rPr>
        <w:t>公示范围为</w:t>
      </w:r>
      <w:r>
        <w:rPr>
          <w:rFonts w:hint="eastAsia" w:ascii="仿宋" w:hAnsi="仿宋" w:eastAsia="仿宋" w:cs="Times New Roman"/>
          <w:sz w:val="28"/>
          <w:szCs w:val="28"/>
        </w:rPr>
        <w:t>：</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（1）住宅用地的公示范围约24.36平方公里，基本以建成区内住宅用地分布较多的区域为主，含6宗标准宗地；</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w:t>
      </w:r>
      <w:r>
        <w:rPr>
          <w:rFonts w:ascii="仿宋_GB2312" w:hAnsi="Times New Roman" w:eastAsia="仿宋_GB2312" w:cs="宋体"/>
          <w:kern w:val="0"/>
          <w:sz w:val="28"/>
          <w:szCs w:val="28"/>
        </w:rPr>
        <w:t>2</w:t>
      </w:r>
      <w:r>
        <w:rPr>
          <w:rFonts w:hint="eastAsia" w:ascii="仿宋_GB2312" w:hAnsi="Times New Roman" w:eastAsia="仿宋_GB2312" w:cs="宋体"/>
          <w:kern w:val="0"/>
          <w:sz w:val="28"/>
          <w:szCs w:val="28"/>
        </w:rPr>
        <w:t>）商住混合用地的公示范围约124.67平方公里，基本以建成区及近期建设区内商住用地分布较多的区域为主，含3</w:t>
      </w:r>
      <w:r>
        <w:rPr>
          <w:rFonts w:ascii="仿宋_GB2312" w:hAnsi="Times New Roman" w:eastAsia="仿宋_GB2312" w:cs="宋体"/>
          <w:kern w:val="0"/>
          <w:sz w:val="28"/>
          <w:szCs w:val="28"/>
        </w:rPr>
        <w:t>0</w:t>
      </w:r>
      <w:r>
        <w:rPr>
          <w:rFonts w:hint="eastAsia" w:ascii="仿宋_GB2312" w:hAnsi="Times New Roman" w:eastAsia="仿宋_GB2312" w:cs="宋体"/>
          <w:kern w:val="0"/>
          <w:sz w:val="28"/>
          <w:szCs w:val="28"/>
        </w:rPr>
        <w:t>宗标准宗地；</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w:t>
      </w:r>
      <w:r>
        <w:rPr>
          <w:rFonts w:ascii="仿宋_GB2312" w:hAnsi="Times New Roman" w:eastAsia="仿宋_GB2312" w:cs="宋体"/>
          <w:kern w:val="0"/>
          <w:sz w:val="28"/>
          <w:szCs w:val="28"/>
        </w:rPr>
        <w:t>3</w:t>
      </w:r>
      <w:r>
        <w:rPr>
          <w:rFonts w:hint="eastAsia" w:ascii="仿宋_GB2312" w:hAnsi="Times New Roman" w:eastAsia="仿宋_GB2312" w:cs="宋体"/>
          <w:kern w:val="0"/>
          <w:sz w:val="28"/>
          <w:szCs w:val="28"/>
        </w:rPr>
        <w:t>）商服用地的公示范围约77.98平方公里，主要分布在各镇街建成区中心位置，含</w:t>
      </w:r>
      <w:r>
        <w:rPr>
          <w:rFonts w:ascii="仿宋_GB2312" w:hAnsi="Times New Roman" w:eastAsia="仿宋_GB2312" w:cs="宋体"/>
          <w:kern w:val="0"/>
          <w:sz w:val="28"/>
          <w:szCs w:val="28"/>
        </w:rPr>
        <w:t>18</w:t>
      </w:r>
      <w:r>
        <w:rPr>
          <w:rFonts w:hint="eastAsia" w:ascii="仿宋_GB2312" w:hAnsi="Times New Roman" w:eastAsia="仿宋_GB2312" w:cs="宋体"/>
          <w:kern w:val="0"/>
          <w:sz w:val="28"/>
          <w:szCs w:val="28"/>
        </w:rPr>
        <w:t>宗标准宗地；</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w:t>
      </w:r>
      <w:r>
        <w:rPr>
          <w:rFonts w:ascii="仿宋_GB2312" w:hAnsi="Times New Roman" w:eastAsia="仿宋_GB2312" w:cs="宋体"/>
          <w:kern w:val="0"/>
          <w:sz w:val="28"/>
          <w:szCs w:val="28"/>
        </w:rPr>
        <w:t>4</w:t>
      </w:r>
      <w:r>
        <w:rPr>
          <w:rFonts w:hint="eastAsia" w:ascii="仿宋_GB2312" w:hAnsi="Times New Roman" w:eastAsia="仿宋_GB2312" w:cs="宋体"/>
          <w:kern w:val="0"/>
          <w:sz w:val="28"/>
          <w:szCs w:val="28"/>
        </w:rPr>
        <w:t>）工业仓储用地公示范围约180.77平方公里，主要分布在义东、义南、义北、后宅等工业集聚区（开发区、工业园区），含</w:t>
      </w:r>
      <w:r>
        <w:rPr>
          <w:rFonts w:ascii="仿宋_GB2312" w:hAnsi="Times New Roman" w:eastAsia="仿宋_GB2312" w:cs="宋体"/>
          <w:kern w:val="0"/>
          <w:sz w:val="28"/>
          <w:szCs w:val="28"/>
        </w:rPr>
        <w:t>21</w:t>
      </w:r>
      <w:r>
        <w:rPr>
          <w:rFonts w:hint="eastAsia" w:ascii="仿宋_GB2312" w:hAnsi="Times New Roman" w:eastAsia="仿宋_GB2312" w:cs="宋体"/>
          <w:kern w:val="0"/>
          <w:sz w:val="28"/>
          <w:szCs w:val="28"/>
        </w:rPr>
        <w:t>宗标准宗地；</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（5）公服用地公示范围约222.75平方公里，分布在各镇街建成区及近期建设区内，含</w:t>
      </w:r>
      <w:r>
        <w:rPr>
          <w:rFonts w:ascii="仿宋_GB2312" w:hAnsi="Times New Roman" w:eastAsia="仿宋_GB2312" w:cs="宋体"/>
          <w:kern w:val="0"/>
          <w:sz w:val="28"/>
          <w:szCs w:val="28"/>
        </w:rPr>
        <w:t>21</w:t>
      </w:r>
      <w:r>
        <w:rPr>
          <w:rFonts w:hint="eastAsia" w:ascii="仿宋_GB2312" w:hAnsi="Times New Roman" w:eastAsia="仿宋_GB2312" w:cs="宋体"/>
          <w:kern w:val="0"/>
          <w:sz w:val="28"/>
          <w:szCs w:val="28"/>
        </w:rPr>
        <w:t>宗标准宗地。</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3、价格水平：依据近几年义乌市城镇国有建设用地市场价格的实际变化，评估标准宗地价格水平。</w:t>
      </w:r>
    </w:p>
    <w:p>
      <w:pP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四、主要特点</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1、农用地基准地价</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农用地基准地价旨在反映农用地价格的区域平均水平，为政府宏观调控农用地价格水平，强化农用地管理，合理引导农用地市场交易，促进农用地资源合理利用等提供主要依据。</w:t>
      </w:r>
    </w:p>
    <w:p>
      <w:pPr>
        <w:adjustRightInd w:val="0"/>
        <w:snapToGrid w:val="0"/>
        <w:spacing w:line="360" w:lineRule="auto"/>
        <w:ind w:firstLine="560" w:firstLineChars="200"/>
        <w:rPr>
          <w:rFonts w:ascii="仿宋_GB2312" w:hAnsi="Times New Roman" w:eastAsia="仿宋_GB2312" w:cs="宋体"/>
          <w:kern w:val="0"/>
          <w:sz w:val="28"/>
          <w:szCs w:val="28"/>
        </w:rPr>
      </w:pPr>
      <w:r>
        <w:rPr>
          <w:rFonts w:hint="eastAsia" w:ascii="仿宋_GB2312" w:hAnsi="Times New Roman" w:eastAsia="仿宋_GB2312" w:cs="宋体"/>
          <w:kern w:val="0"/>
          <w:sz w:val="28"/>
          <w:szCs w:val="28"/>
        </w:rPr>
        <w:t>2、城镇国有建设用地标定地价</w:t>
      </w:r>
    </w:p>
    <w:p>
      <w:pPr>
        <w:adjustRightInd w:val="0"/>
        <w:snapToGrid w:val="0"/>
        <w:spacing w:line="360" w:lineRule="auto"/>
        <w:ind w:firstLine="560" w:firstLineChars="200"/>
        <w:rPr>
          <w:rFonts w:ascii="仿宋_GB2312" w:hAnsi="Times New Roman" w:eastAsia="仿宋_GB2312" w:cs="宋体"/>
          <w:kern w:val="0"/>
          <w:sz w:val="32"/>
          <w:szCs w:val="32"/>
        </w:rPr>
      </w:pPr>
      <w:r>
        <w:rPr>
          <w:rFonts w:hint="eastAsia" w:ascii="仿宋_GB2312" w:hAnsi="Times New Roman" w:eastAsia="仿宋_GB2312" w:cs="宋体"/>
          <w:kern w:val="0"/>
          <w:sz w:val="28"/>
          <w:szCs w:val="28"/>
        </w:rPr>
        <w:t>标定地价是政府为管理需要确定的、符合一定条件的标准宗地，在现状开发利用、正常市场条件、法定最高使用年期或政策规定年期下，某一估价期日的土地权利价格，是宗地评估、地价管理和有关税费确定的重要依据。</w:t>
      </w:r>
    </w:p>
    <w:p>
      <w:pPr>
        <w:pStyle w:val="2"/>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B7D71"/>
    <w:rsid w:val="000B7D71"/>
    <w:rsid w:val="00216EE5"/>
    <w:rsid w:val="002A464A"/>
    <w:rsid w:val="00365175"/>
    <w:rsid w:val="003C623B"/>
    <w:rsid w:val="00400550"/>
    <w:rsid w:val="004126D0"/>
    <w:rsid w:val="00652F5E"/>
    <w:rsid w:val="007C65F7"/>
    <w:rsid w:val="007D3930"/>
    <w:rsid w:val="007F03AA"/>
    <w:rsid w:val="008210EE"/>
    <w:rsid w:val="009D43B6"/>
    <w:rsid w:val="00B53035"/>
    <w:rsid w:val="00B878DF"/>
    <w:rsid w:val="00BA6796"/>
    <w:rsid w:val="00BC115A"/>
    <w:rsid w:val="00C579D9"/>
    <w:rsid w:val="00D02829"/>
    <w:rsid w:val="00DF7817"/>
    <w:rsid w:val="00E42C80"/>
    <w:rsid w:val="00E8741F"/>
    <w:rsid w:val="00FF04E5"/>
    <w:rsid w:val="03863279"/>
    <w:rsid w:val="043678E8"/>
    <w:rsid w:val="05454EFF"/>
    <w:rsid w:val="05F27FAD"/>
    <w:rsid w:val="06147FFC"/>
    <w:rsid w:val="07AC335F"/>
    <w:rsid w:val="08E97841"/>
    <w:rsid w:val="094F6952"/>
    <w:rsid w:val="0A2458A4"/>
    <w:rsid w:val="0A4F666E"/>
    <w:rsid w:val="0BE7205F"/>
    <w:rsid w:val="0CE56790"/>
    <w:rsid w:val="0EA351CB"/>
    <w:rsid w:val="0EA85849"/>
    <w:rsid w:val="0FF2084D"/>
    <w:rsid w:val="103D7536"/>
    <w:rsid w:val="143E7B59"/>
    <w:rsid w:val="19CB46D6"/>
    <w:rsid w:val="1E61201A"/>
    <w:rsid w:val="236979E8"/>
    <w:rsid w:val="23843CD0"/>
    <w:rsid w:val="25B72725"/>
    <w:rsid w:val="25BD0272"/>
    <w:rsid w:val="29215D90"/>
    <w:rsid w:val="2D6E05CE"/>
    <w:rsid w:val="32F64EF8"/>
    <w:rsid w:val="36876C22"/>
    <w:rsid w:val="37B427B6"/>
    <w:rsid w:val="39451213"/>
    <w:rsid w:val="3A994D95"/>
    <w:rsid w:val="3A9F7883"/>
    <w:rsid w:val="3CB47E3C"/>
    <w:rsid w:val="41D1373B"/>
    <w:rsid w:val="45102EE0"/>
    <w:rsid w:val="46E50401"/>
    <w:rsid w:val="48E806FD"/>
    <w:rsid w:val="4A5A2FE1"/>
    <w:rsid w:val="4C246129"/>
    <w:rsid w:val="4C281A5F"/>
    <w:rsid w:val="50746EE3"/>
    <w:rsid w:val="51EE14DE"/>
    <w:rsid w:val="52822318"/>
    <w:rsid w:val="53085A58"/>
    <w:rsid w:val="57E51036"/>
    <w:rsid w:val="5A4F76B4"/>
    <w:rsid w:val="5A8E4EF3"/>
    <w:rsid w:val="5D155C2C"/>
    <w:rsid w:val="5D871A66"/>
    <w:rsid w:val="5E0B6F1A"/>
    <w:rsid w:val="602A348F"/>
    <w:rsid w:val="668C6798"/>
    <w:rsid w:val="670F181B"/>
    <w:rsid w:val="671847F8"/>
    <w:rsid w:val="673C66DF"/>
    <w:rsid w:val="69C1143F"/>
    <w:rsid w:val="6A3475CA"/>
    <w:rsid w:val="6B243064"/>
    <w:rsid w:val="6C7F1226"/>
    <w:rsid w:val="6F9C0E28"/>
    <w:rsid w:val="71A64E19"/>
    <w:rsid w:val="72F3796D"/>
    <w:rsid w:val="776C5FB7"/>
    <w:rsid w:val="7ACF517D"/>
    <w:rsid w:val="7B615796"/>
    <w:rsid w:val="7C876D1B"/>
    <w:rsid w:val="7CF2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outlineLvl w:val="1"/>
    </w:pPr>
    <w:rPr>
      <w:rFonts w:ascii="等线 Light" w:hAnsi="等线 Light" w:eastAsia="仿宋" w:cs="Times New Roman"/>
      <w:b/>
      <w:bCs/>
      <w:sz w:val="32"/>
      <w:szCs w:val="32"/>
    </w:rPr>
  </w:style>
  <w:style w:type="paragraph" w:styleId="5">
    <w:name w:val="heading 3"/>
    <w:basedOn w:val="1"/>
    <w:next w:val="1"/>
    <w:link w:val="40"/>
    <w:qFormat/>
    <w:uiPriority w:val="0"/>
    <w:pPr>
      <w:keepNext/>
      <w:keepLines/>
      <w:outlineLvl w:val="2"/>
    </w:pPr>
    <w:rPr>
      <w:rFonts w:ascii="Times New Roman" w:hAnsi="Times New Roman" w:eastAsia="仿宋" w:cs="Times New Roman"/>
      <w:bCs/>
      <w:sz w:val="32"/>
      <w:szCs w:val="32"/>
    </w:rPr>
  </w:style>
  <w:style w:type="paragraph" w:styleId="6">
    <w:name w:val="heading 4"/>
    <w:basedOn w:val="1"/>
    <w:next w:val="1"/>
    <w:link w:val="4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2">
    <w:name w:val="Body Text"/>
    <w:basedOn w:val="1"/>
    <w:link w:val="54"/>
    <w:qFormat/>
    <w:uiPriority w:val="0"/>
    <w:rPr>
      <w:sz w:val="24"/>
    </w:rPr>
  </w:style>
  <w:style w:type="paragraph" w:styleId="7">
    <w:name w:val="toc 7"/>
    <w:basedOn w:val="1"/>
    <w:next w:val="1"/>
    <w:unhideWhenUsed/>
    <w:uiPriority w:val="39"/>
    <w:pPr>
      <w:ind w:left="2520" w:leftChars="1200"/>
    </w:pPr>
    <w:rPr>
      <w:rFonts w:ascii="等线" w:hAnsi="等线" w:eastAsia="等线" w:cs="Times New Roman"/>
      <w:szCs w:val="22"/>
    </w:rPr>
  </w:style>
  <w:style w:type="paragraph" w:styleId="8">
    <w:name w:val="annotation text"/>
    <w:basedOn w:val="1"/>
    <w:link w:val="49"/>
    <w:qFormat/>
    <w:uiPriority w:val="0"/>
    <w:pPr>
      <w:jc w:val="left"/>
    </w:pPr>
    <w:rPr>
      <w:rFonts w:ascii="等线" w:hAnsi="等线" w:eastAsia="等线" w:cs="Times New Roman"/>
    </w:rPr>
  </w:style>
  <w:style w:type="paragraph" w:styleId="9">
    <w:name w:val="Body Text Indent"/>
    <w:basedOn w:val="1"/>
    <w:link w:val="46"/>
    <w:qFormat/>
    <w:uiPriority w:val="0"/>
    <w:pPr>
      <w:ind w:firstLine="540"/>
    </w:pPr>
    <w:rPr>
      <w:rFonts w:ascii="仿宋_GB2312" w:hAnsi="等线" w:eastAsia="仿宋_GB2312" w:cs="Times New Roman"/>
      <w:spacing w:val="10"/>
      <w:sz w:val="28"/>
    </w:rPr>
  </w:style>
  <w:style w:type="paragraph" w:styleId="10">
    <w:name w:val="toc 5"/>
    <w:basedOn w:val="1"/>
    <w:next w:val="1"/>
    <w:unhideWhenUsed/>
    <w:uiPriority w:val="39"/>
    <w:pPr>
      <w:ind w:left="1680" w:leftChars="800"/>
    </w:pPr>
    <w:rPr>
      <w:rFonts w:ascii="等线" w:hAnsi="等线" w:eastAsia="等线" w:cs="Times New Roman"/>
      <w:szCs w:val="22"/>
    </w:rPr>
  </w:style>
  <w:style w:type="paragraph" w:styleId="11">
    <w:name w:val="toc 3"/>
    <w:basedOn w:val="1"/>
    <w:next w:val="1"/>
    <w:unhideWhenUsed/>
    <w:qFormat/>
    <w:uiPriority w:val="39"/>
    <w:pPr>
      <w:widowControl/>
      <w:spacing w:after="100" w:line="276" w:lineRule="auto"/>
      <w:ind w:left="440"/>
      <w:jc w:val="left"/>
    </w:pPr>
    <w:rPr>
      <w:rFonts w:ascii="等线" w:hAnsi="等线" w:eastAsia="等线" w:cs="Times New Roman"/>
      <w:kern w:val="0"/>
      <w:sz w:val="22"/>
      <w:szCs w:val="22"/>
    </w:rPr>
  </w:style>
  <w:style w:type="paragraph" w:styleId="12">
    <w:name w:val="Plain Text"/>
    <w:basedOn w:val="1"/>
    <w:link w:val="50"/>
    <w:qFormat/>
    <w:uiPriority w:val="0"/>
    <w:pPr>
      <w:widowControl/>
      <w:overflowPunct w:val="0"/>
      <w:autoSpaceDE w:val="0"/>
      <w:autoSpaceDN w:val="0"/>
      <w:adjustRightInd w:val="0"/>
      <w:jc w:val="left"/>
      <w:textAlignment w:val="baseline"/>
    </w:pPr>
    <w:rPr>
      <w:rFonts w:ascii="宋体" w:hAnsi="Courier New" w:eastAsia="宋体" w:cs="Times New Roman"/>
      <w:kern w:val="0"/>
      <w:szCs w:val="21"/>
    </w:rPr>
  </w:style>
  <w:style w:type="paragraph" w:styleId="13">
    <w:name w:val="toc 8"/>
    <w:basedOn w:val="1"/>
    <w:next w:val="1"/>
    <w:unhideWhenUsed/>
    <w:qFormat/>
    <w:uiPriority w:val="39"/>
    <w:pPr>
      <w:ind w:left="2940" w:leftChars="1400"/>
    </w:pPr>
    <w:rPr>
      <w:rFonts w:ascii="等线" w:hAnsi="等线" w:eastAsia="等线" w:cs="Times New Roman"/>
      <w:szCs w:val="22"/>
    </w:rPr>
  </w:style>
  <w:style w:type="paragraph" w:styleId="14">
    <w:name w:val="Date"/>
    <w:basedOn w:val="1"/>
    <w:next w:val="1"/>
    <w:link w:val="51"/>
    <w:qFormat/>
    <w:uiPriority w:val="0"/>
    <w:pPr>
      <w:ind w:left="100" w:leftChars="2500"/>
    </w:pPr>
    <w:rPr>
      <w:rFonts w:ascii="等线" w:hAnsi="等线" w:eastAsia="等线" w:cs="Times New Roman"/>
    </w:rPr>
  </w:style>
  <w:style w:type="paragraph" w:styleId="15">
    <w:name w:val="Body Text Indent 2"/>
    <w:basedOn w:val="1"/>
    <w:link w:val="43"/>
    <w:qFormat/>
    <w:uiPriority w:val="0"/>
    <w:pPr>
      <w:spacing w:line="480" w:lineRule="exact"/>
      <w:ind w:firstLine="570"/>
    </w:pPr>
    <w:rPr>
      <w:rFonts w:ascii="等线" w:hAnsi="等线" w:eastAsia="仿宋_GB2312" w:cs="Times New Roman"/>
      <w:sz w:val="28"/>
      <w:szCs w:val="20"/>
    </w:rPr>
  </w:style>
  <w:style w:type="paragraph" w:styleId="16">
    <w:name w:val="Balloon Text"/>
    <w:basedOn w:val="1"/>
    <w:link w:val="55"/>
    <w:qFormat/>
    <w:uiPriority w:val="0"/>
    <w:rPr>
      <w:rFonts w:ascii="等线" w:hAnsi="等线" w:eastAsia="等线" w:cs="Times New Roman"/>
      <w:sz w:val="18"/>
      <w:szCs w:val="18"/>
    </w:rPr>
  </w:style>
  <w:style w:type="paragraph" w:styleId="17">
    <w:name w:val="footer"/>
    <w:basedOn w:val="1"/>
    <w:link w:val="38"/>
    <w:qFormat/>
    <w:uiPriority w:val="99"/>
    <w:pPr>
      <w:tabs>
        <w:tab w:val="center" w:pos="4153"/>
        <w:tab w:val="right" w:pos="8306"/>
      </w:tabs>
      <w:snapToGrid w:val="0"/>
      <w:jc w:val="left"/>
    </w:pPr>
    <w:rPr>
      <w:sz w:val="18"/>
      <w:szCs w:val="18"/>
    </w:rPr>
  </w:style>
  <w:style w:type="paragraph" w:styleId="18">
    <w:name w:val="header"/>
    <w:basedOn w:val="1"/>
    <w:link w:val="37"/>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rPr>
      <w:rFonts w:ascii="等线" w:hAnsi="等线" w:eastAsia="等线" w:cs="Times New Roman"/>
    </w:rPr>
  </w:style>
  <w:style w:type="paragraph" w:styleId="20">
    <w:name w:val="toc 4"/>
    <w:basedOn w:val="1"/>
    <w:next w:val="1"/>
    <w:unhideWhenUsed/>
    <w:qFormat/>
    <w:uiPriority w:val="39"/>
    <w:pPr>
      <w:ind w:left="1260" w:leftChars="600"/>
    </w:pPr>
    <w:rPr>
      <w:rFonts w:ascii="等线" w:hAnsi="等线" w:eastAsia="等线" w:cs="Times New Roman"/>
      <w:szCs w:val="22"/>
    </w:rPr>
  </w:style>
  <w:style w:type="paragraph" w:styleId="21">
    <w:name w:val="toc 6"/>
    <w:basedOn w:val="1"/>
    <w:next w:val="1"/>
    <w:unhideWhenUsed/>
    <w:qFormat/>
    <w:uiPriority w:val="39"/>
    <w:pPr>
      <w:ind w:left="2100" w:leftChars="1000"/>
    </w:pPr>
    <w:rPr>
      <w:rFonts w:ascii="等线" w:hAnsi="等线" w:eastAsia="等线" w:cs="Times New Roman"/>
      <w:szCs w:val="22"/>
    </w:rPr>
  </w:style>
  <w:style w:type="paragraph" w:styleId="22">
    <w:name w:val="toc 2"/>
    <w:basedOn w:val="1"/>
    <w:next w:val="1"/>
    <w:qFormat/>
    <w:uiPriority w:val="39"/>
    <w:pPr>
      <w:ind w:left="420" w:leftChars="200"/>
    </w:pPr>
    <w:rPr>
      <w:rFonts w:ascii="等线" w:hAnsi="等线" w:eastAsia="等线" w:cs="Times New Roman"/>
    </w:rPr>
  </w:style>
  <w:style w:type="paragraph" w:styleId="23">
    <w:name w:val="toc 9"/>
    <w:basedOn w:val="1"/>
    <w:next w:val="1"/>
    <w:unhideWhenUsed/>
    <w:qFormat/>
    <w:uiPriority w:val="39"/>
    <w:pPr>
      <w:ind w:left="3360" w:leftChars="1600"/>
    </w:pPr>
    <w:rPr>
      <w:rFonts w:ascii="等线" w:hAnsi="等线" w:eastAsia="等线" w:cs="Times New Roman"/>
      <w:szCs w:val="22"/>
    </w:rPr>
  </w:style>
  <w:style w:type="paragraph" w:styleId="24">
    <w:name w:val="HTML Preformatted"/>
    <w:basedOn w:val="1"/>
    <w:link w:val="5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25">
    <w:name w:val="Normal (Web)"/>
    <w:basedOn w:val="1"/>
    <w:qFormat/>
    <w:uiPriority w:val="99"/>
    <w:pPr>
      <w:widowControl/>
      <w:spacing w:before="100" w:beforeAutospacing="1" w:after="100" w:afterAutospacing="1"/>
      <w:ind w:firstLine="480"/>
      <w:jc w:val="left"/>
    </w:pPr>
    <w:rPr>
      <w:rFonts w:ascii="宋体" w:hAnsi="宋体" w:eastAsia="宋体" w:cs="宋体"/>
      <w:kern w:val="0"/>
      <w:sz w:val="24"/>
    </w:rPr>
  </w:style>
  <w:style w:type="paragraph" w:styleId="26">
    <w:name w:val="annotation subject"/>
    <w:basedOn w:val="8"/>
    <w:next w:val="8"/>
    <w:link w:val="45"/>
    <w:qFormat/>
    <w:uiPriority w:val="0"/>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rPr>
  </w:style>
  <w:style w:type="character" w:styleId="31">
    <w:name w:val="page number"/>
    <w:qFormat/>
    <w:uiPriority w:val="0"/>
  </w:style>
  <w:style w:type="character" w:styleId="32">
    <w:name w:val="FollowedHyperlink"/>
    <w:unhideWhenUsed/>
    <w:qFormat/>
    <w:uiPriority w:val="99"/>
    <w:rPr>
      <w:color w:val="954F72"/>
      <w:u w:val="single"/>
    </w:rPr>
  </w:style>
  <w:style w:type="character" w:styleId="33">
    <w:name w:val="Emphasis"/>
    <w:qFormat/>
    <w:uiPriority w:val="20"/>
    <w:rPr>
      <w:i/>
      <w:iCs/>
    </w:rPr>
  </w:style>
  <w:style w:type="character" w:styleId="34">
    <w:name w:val="Hyperlink"/>
    <w:unhideWhenUsed/>
    <w:qFormat/>
    <w:uiPriority w:val="99"/>
    <w:rPr>
      <w:color w:val="0563C1"/>
      <w:u w:val="single"/>
    </w:rPr>
  </w:style>
  <w:style w:type="character" w:styleId="35">
    <w:name w:val="annotation reference"/>
    <w:qFormat/>
    <w:uiPriority w:val="0"/>
    <w:rPr>
      <w:sz w:val="21"/>
      <w:szCs w:val="21"/>
    </w:rPr>
  </w:style>
  <w:style w:type="character" w:customStyle="1" w:styleId="36">
    <w:name w:val="标题 1 字符"/>
    <w:basedOn w:val="29"/>
    <w:link w:val="3"/>
    <w:qFormat/>
    <w:uiPriority w:val="0"/>
    <w:rPr>
      <w:rFonts w:asciiTheme="minorHAnsi" w:hAnsiTheme="minorHAnsi" w:eastAsiaTheme="minorEastAsia" w:cstheme="minorBidi"/>
      <w:b/>
      <w:bCs/>
      <w:kern w:val="44"/>
      <w:sz w:val="44"/>
      <w:szCs w:val="44"/>
    </w:rPr>
  </w:style>
  <w:style w:type="character" w:customStyle="1" w:styleId="37">
    <w:name w:val="页眉 字符"/>
    <w:basedOn w:val="29"/>
    <w:link w:val="18"/>
    <w:qFormat/>
    <w:uiPriority w:val="99"/>
    <w:rPr>
      <w:rFonts w:asciiTheme="minorHAnsi" w:hAnsiTheme="minorHAnsi" w:eastAsiaTheme="minorEastAsia" w:cstheme="minorBidi"/>
      <w:kern w:val="2"/>
      <w:sz w:val="18"/>
      <w:szCs w:val="18"/>
    </w:rPr>
  </w:style>
  <w:style w:type="character" w:customStyle="1" w:styleId="38">
    <w:name w:val="页脚 字符"/>
    <w:basedOn w:val="29"/>
    <w:link w:val="17"/>
    <w:qFormat/>
    <w:uiPriority w:val="99"/>
    <w:rPr>
      <w:rFonts w:asciiTheme="minorHAnsi" w:hAnsiTheme="minorHAnsi" w:eastAsiaTheme="minorEastAsia" w:cstheme="minorBidi"/>
      <w:kern w:val="2"/>
      <w:sz w:val="18"/>
      <w:szCs w:val="18"/>
    </w:rPr>
  </w:style>
  <w:style w:type="character" w:customStyle="1" w:styleId="39">
    <w:name w:val="标题 2 字符"/>
    <w:basedOn w:val="29"/>
    <w:link w:val="4"/>
    <w:qFormat/>
    <w:uiPriority w:val="0"/>
    <w:rPr>
      <w:rFonts w:ascii="等线 Light" w:hAnsi="等线 Light" w:eastAsia="仿宋"/>
      <w:b/>
      <w:bCs/>
      <w:kern w:val="2"/>
      <w:sz w:val="32"/>
      <w:szCs w:val="32"/>
    </w:rPr>
  </w:style>
  <w:style w:type="character" w:customStyle="1" w:styleId="40">
    <w:name w:val="标题 3 字符"/>
    <w:basedOn w:val="29"/>
    <w:link w:val="5"/>
    <w:qFormat/>
    <w:uiPriority w:val="0"/>
    <w:rPr>
      <w:rFonts w:eastAsia="仿宋"/>
      <w:bCs/>
      <w:kern w:val="2"/>
      <w:sz w:val="32"/>
      <w:szCs w:val="32"/>
    </w:rPr>
  </w:style>
  <w:style w:type="character" w:customStyle="1" w:styleId="41">
    <w:name w:val="标题 4 字符"/>
    <w:link w:val="6"/>
    <w:qFormat/>
    <w:uiPriority w:val="0"/>
    <w:rPr>
      <w:rFonts w:ascii="宋体" w:hAnsi="宋体" w:cs="宋体" w:eastAsiaTheme="minorEastAsia"/>
      <w:b/>
      <w:bCs/>
      <w:sz w:val="24"/>
      <w:szCs w:val="24"/>
    </w:rPr>
  </w:style>
  <w:style w:type="character" w:customStyle="1" w:styleId="42">
    <w:name w:val="font161"/>
    <w:qFormat/>
    <w:uiPriority w:val="0"/>
    <w:rPr>
      <w:sz w:val="24"/>
      <w:szCs w:val="24"/>
    </w:rPr>
  </w:style>
  <w:style w:type="character" w:customStyle="1" w:styleId="43">
    <w:name w:val="正文文本缩进 2 字符"/>
    <w:link w:val="15"/>
    <w:qFormat/>
    <w:uiPriority w:val="0"/>
    <w:rPr>
      <w:rFonts w:ascii="等线" w:hAnsi="等线" w:eastAsia="仿宋_GB2312"/>
      <w:kern w:val="2"/>
      <w:sz w:val="28"/>
    </w:rPr>
  </w:style>
  <w:style w:type="character" w:customStyle="1" w:styleId="44">
    <w:name w:val="font31"/>
    <w:qFormat/>
    <w:uiPriority w:val="0"/>
    <w:rPr>
      <w:rFonts w:hint="eastAsia" w:ascii="宋体" w:hAnsi="宋体" w:eastAsia="宋体" w:cs="宋体"/>
      <w:b/>
      <w:color w:val="000000"/>
      <w:sz w:val="24"/>
      <w:szCs w:val="24"/>
      <w:u w:val="none"/>
    </w:rPr>
  </w:style>
  <w:style w:type="character" w:customStyle="1" w:styleId="45">
    <w:name w:val="批注主题 字符"/>
    <w:link w:val="26"/>
    <w:qFormat/>
    <w:uiPriority w:val="0"/>
    <w:rPr>
      <w:rFonts w:ascii="等线" w:hAnsi="等线" w:eastAsia="等线"/>
      <w:b/>
      <w:bCs/>
      <w:kern w:val="2"/>
      <w:sz w:val="21"/>
      <w:szCs w:val="24"/>
    </w:rPr>
  </w:style>
  <w:style w:type="character" w:customStyle="1" w:styleId="46">
    <w:name w:val="正文文本缩进 字符"/>
    <w:link w:val="9"/>
    <w:qFormat/>
    <w:uiPriority w:val="0"/>
    <w:rPr>
      <w:rFonts w:ascii="仿宋_GB2312" w:hAnsi="等线" w:eastAsia="仿宋_GB2312"/>
      <w:spacing w:val="10"/>
      <w:kern w:val="2"/>
      <w:sz w:val="28"/>
      <w:szCs w:val="24"/>
    </w:rPr>
  </w:style>
  <w:style w:type="character" w:customStyle="1" w:styleId="47">
    <w:name w:val="hj"/>
    <w:basedOn w:val="29"/>
    <w:qFormat/>
    <w:uiPriority w:val="0"/>
  </w:style>
  <w:style w:type="character" w:customStyle="1" w:styleId="48">
    <w:name w:val="font41"/>
    <w:qFormat/>
    <w:uiPriority w:val="0"/>
    <w:rPr>
      <w:rFonts w:hint="eastAsia" w:ascii="宋体" w:hAnsi="宋体" w:eastAsia="宋体" w:cs="宋体"/>
      <w:color w:val="000000"/>
      <w:sz w:val="21"/>
      <w:szCs w:val="21"/>
      <w:u w:val="none"/>
    </w:rPr>
  </w:style>
  <w:style w:type="character" w:customStyle="1" w:styleId="49">
    <w:name w:val="批注文字 字符"/>
    <w:link w:val="8"/>
    <w:qFormat/>
    <w:uiPriority w:val="0"/>
    <w:rPr>
      <w:rFonts w:ascii="等线" w:hAnsi="等线" w:eastAsia="等线"/>
      <w:kern w:val="2"/>
      <w:sz w:val="21"/>
      <w:szCs w:val="24"/>
    </w:rPr>
  </w:style>
  <w:style w:type="character" w:customStyle="1" w:styleId="50">
    <w:name w:val="纯文本 字符1"/>
    <w:link w:val="12"/>
    <w:qFormat/>
    <w:uiPriority w:val="0"/>
    <w:rPr>
      <w:rFonts w:ascii="宋体" w:hAnsi="Courier New"/>
      <w:sz w:val="21"/>
      <w:szCs w:val="21"/>
    </w:rPr>
  </w:style>
  <w:style w:type="character" w:customStyle="1" w:styleId="51">
    <w:name w:val="日期 字符"/>
    <w:link w:val="14"/>
    <w:qFormat/>
    <w:uiPriority w:val="0"/>
    <w:rPr>
      <w:rFonts w:ascii="等线" w:hAnsi="等线" w:eastAsia="等线"/>
      <w:kern w:val="2"/>
      <w:sz w:val="21"/>
      <w:szCs w:val="24"/>
    </w:rPr>
  </w:style>
  <w:style w:type="character" w:customStyle="1" w:styleId="52">
    <w:name w:val="未处理的提及1"/>
    <w:unhideWhenUsed/>
    <w:qFormat/>
    <w:uiPriority w:val="99"/>
    <w:rPr>
      <w:color w:val="605E5C"/>
      <w:shd w:val="clear" w:color="auto" w:fill="E1DFDD"/>
    </w:rPr>
  </w:style>
  <w:style w:type="character" w:customStyle="1" w:styleId="53">
    <w:name w:val="font01"/>
    <w:qFormat/>
    <w:uiPriority w:val="0"/>
    <w:rPr>
      <w:rFonts w:hint="eastAsia" w:ascii="宋体" w:hAnsi="宋体" w:eastAsia="宋体" w:cs="宋体"/>
      <w:color w:val="000000"/>
      <w:sz w:val="21"/>
      <w:szCs w:val="21"/>
      <w:u w:val="none"/>
    </w:rPr>
  </w:style>
  <w:style w:type="character" w:customStyle="1" w:styleId="54">
    <w:name w:val="正文文本 字符"/>
    <w:link w:val="2"/>
    <w:qFormat/>
    <w:uiPriority w:val="0"/>
    <w:rPr>
      <w:rFonts w:asciiTheme="minorHAnsi" w:hAnsiTheme="minorHAnsi" w:eastAsiaTheme="minorEastAsia" w:cstheme="minorBidi"/>
      <w:kern w:val="2"/>
      <w:sz w:val="24"/>
      <w:szCs w:val="24"/>
    </w:rPr>
  </w:style>
  <w:style w:type="character" w:customStyle="1" w:styleId="55">
    <w:name w:val="批注框文本 字符"/>
    <w:link w:val="16"/>
    <w:qFormat/>
    <w:uiPriority w:val="0"/>
    <w:rPr>
      <w:rFonts w:ascii="等线" w:hAnsi="等线" w:eastAsia="等线"/>
      <w:kern w:val="2"/>
      <w:sz w:val="18"/>
      <w:szCs w:val="18"/>
    </w:rPr>
  </w:style>
  <w:style w:type="character" w:customStyle="1" w:styleId="56">
    <w:name w:val="HTML 预设格式 字符"/>
    <w:link w:val="24"/>
    <w:qFormat/>
    <w:uiPriority w:val="0"/>
    <w:rPr>
      <w:rFonts w:ascii="宋体" w:hAnsi="宋体" w:cs="宋体"/>
      <w:sz w:val="24"/>
      <w:szCs w:val="24"/>
    </w:rPr>
  </w:style>
  <w:style w:type="character" w:customStyle="1" w:styleId="57">
    <w:name w:val="纯文本 字符"/>
    <w:qFormat/>
    <w:uiPriority w:val="0"/>
    <w:rPr>
      <w:rFonts w:ascii="等线" w:hAnsi="Courier New" w:cs="Courier New"/>
      <w:szCs w:val="24"/>
    </w:rPr>
  </w:style>
  <w:style w:type="character" w:customStyle="1" w:styleId="58">
    <w:name w:val="font81"/>
    <w:qFormat/>
    <w:uiPriority w:val="0"/>
    <w:rPr>
      <w:rFonts w:hint="eastAsia" w:ascii="宋体" w:hAnsi="宋体" w:eastAsia="宋体" w:cs="宋体"/>
      <w:b/>
      <w:color w:val="000000"/>
      <w:sz w:val="21"/>
      <w:szCs w:val="21"/>
      <w:u w:val="none"/>
    </w:rPr>
  </w:style>
  <w:style w:type="character" w:customStyle="1" w:styleId="59">
    <w:name w:val="apple-converted-space"/>
    <w:qFormat/>
    <w:uiPriority w:val="0"/>
  </w:style>
  <w:style w:type="character" w:customStyle="1" w:styleId="60">
    <w:name w:val="文字 Char"/>
    <w:link w:val="61"/>
    <w:qFormat/>
    <w:uiPriority w:val="0"/>
    <w:rPr>
      <w:rFonts w:ascii="仿宋_GB2312" w:eastAsia="仿宋_GB2312"/>
      <w:kern w:val="2"/>
      <w:sz w:val="28"/>
      <w:szCs w:val="24"/>
    </w:rPr>
  </w:style>
  <w:style w:type="paragraph" w:customStyle="1" w:styleId="61">
    <w:name w:val="文字"/>
    <w:basedOn w:val="1"/>
    <w:link w:val="60"/>
    <w:qFormat/>
    <w:uiPriority w:val="0"/>
    <w:pPr>
      <w:adjustRightInd w:val="0"/>
      <w:spacing w:line="480" w:lineRule="exact"/>
      <w:ind w:firstLine="570"/>
      <w:textAlignment w:val="baseline"/>
    </w:pPr>
    <w:rPr>
      <w:rFonts w:ascii="仿宋_GB2312" w:hAnsi="Times New Roman" w:eastAsia="仿宋_GB2312" w:cs="Times New Roman"/>
      <w:sz w:val="28"/>
    </w:rPr>
  </w:style>
  <w:style w:type="character" w:customStyle="1" w:styleId="62">
    <w:name w:val="批注文字 字符1"/>
    <w:basedOn w:val="29"/>
    <w:qFormat/>
    <w:uiPriority w:val="0"/>
    <w:rPr>
      <w:rFonts w:asciiTheme="minorHAnsi" w:hAnsiTheme="minorHAnsi" w:eastAsiaTheme="minorEastAsia" w:cstheme="minorBidi"/>
      <w:kern w:val="2"/>
      <w:sz w:val="21"/>
      <w:szCs w:val="24"/>
    </w:rPr>
  </w:style>
  <w:style w:type="character" w:customStyle="1" w:styleId="63">
    <w:name w:val="正文文本缩进 字符1"/>
    <w:basedOn w:val="29"/>
    <w:qFormat/>
    <w:uiPriority w:val="0"/>
    <w:rPr>
      <w:rFonts w:asciiTheme="minorHAnsi" w:hAnsiTheme="minorHAnsi" w:eastAsiaTheme="minorEastAsia" w:cstheme="minorBidi"/>
      <w:kern w:val="2"/>
      <w:sz w:val="21"/>
      <w:szCs w:val="24"/>
    </w:rPr>
  </w:style>
  <w:style w:type="character" w:customStyle="1" w:styleId="64">
    <w:name w:val="正文文本缩进 2 字符1"/>
    <w:basedOn w:val="29"/>
    <w:qFormat/>
    <w:uiPriority w:val="0"/>
    <w:rPr>
      <w:rFonts w:asciiTheme="minorHAnsi" w:hAnsiTheme="minorHAnsi" w:eastAsiaTheme="minorEastAsia" w:cstheme="minorBidi"/>
      <w:kern w:val="2"/>
      <w:sz w:val="21"/>
      <w:szCs w:val="24"/>
    </w:rPr>
  </w:style>
  <w:style w:type="character" w:customStyle="1" w:styleId="65">
    <w:name w:val="纯文本 字符2"/>
    <w:basedOn w:val="29"/>
    <w:qFormat/>
    <w:uiPriority w:val="0"/>
    <w:rPr>
      <w:rFonts w:hAnsi="Courier New" w:cs="Courier New" w:asciiTheme="minorEastAsia" w:eastAsiaTheme="minorEastAsia"/>
      <w:kern w:val="2"/>
      <w:sz w:val="21"/>
      <w:szCs w:val="24"/>
    </w:rPr>
  </w:style>
  <w:style w:type="character" w:customStyle="1" w:styleId="66">
    <w:name w:val="批注框文本 字符1"/>
    <w:basedOn w:val="29"/>
    <w:qFormat/>
    <w:uiPriority w:val="0"/>
    <w:rPr>
      <w:rFonts w:asciiTheme="minorHAnsi" w:hAnsiTheme="minorHAnsi" w:eastAsiaTheme="minorEastAsia" w:cstheme="minorBidi"/>
      <w:kern w:val="2"/>
      <w:sz w:val="18"/>
      <w:szCs w:val="18"/>
    </w:rPr>
  </w:style>
  <w:style w:type="paragraph" w:customStyle="1" w:styleId="67">
    <w:name w:val="表头"/>
    <w:basedOn w:val="68"/>
    <w:qFormat/>
    <w:uiPriority w:val="0"/>
    <w:pPr>
      <w:spacing w:line="240" w:lineRule="auto"/>
      <w:ind w:firstLine="0" w:firstLineChars="0"/>
      <w:jc w:val="center"/>
    </w:pPr>
    <w:rPr>
      <w:kern w:val="0"/>
      <w:sz w:val="21"/>
      <w:szCs w:val="30"/>
    </w:rPr>
  </w:style>
  <w:style w:type="paragraph" w:customStyle="1" w:styleId="68">
    <w:name w:val="文"/>
    <w:basedOn w:val="1"/>
    <w:qFormat/>
    <w:uiPriority w:val="0"/>
    <w:pPr>
      <w:adjustRightInd w:val="0"/>
      <w:snapToGrid w:val="0"/>
      <w:spacing w:line="480" w:lineRule="exact"/>
      <w:ind w:firstLine="560" w:firstLineChars="200"/>
      <w:textAlignment w:val="baseline"/>
    </w:pPr>
    <w:rPr>
      <w:rFonts w:ascii="仿宋_GB2312" w:hAnsi="等线" w:eastAsia="仿宋_GB2312" w:cs="Times New Roman"/>
      <w:color w:val="000000"/>
      <w:sz w:val="28"/>
    </w:rPr>
  </w:style>
  <w:style w:type="character" w:customStyle="1" w:styleId="69">
    <w:name w:val="日期 字符1"/>
    <w:basedOn w:val="29"/>
    <w:qFormat/>
    <w:uiPriority w:val="0"/>
    <w:rPr>
      <w:rFonts w:asciiTheme="minorHAnsi" w:hAnsiTheme="minorHAnsi" w:eastAsiaTheme="minorEastAsia" w:cstheme="minorBidi"/>
      <w:kern w:val="2"/>
      <w:sz w:val="21"/>
      <w:szCs w:val="24"/>
    </w:rPr>
  </w:style>
  <w:style w:type="paragraph" w:customStyle="1" w:styleId="70">
    <w:name w:val="一"/>
    <w:basedOn w:val="4"/>
    <w:qFormat/>
    <w:uiPriority w:val="0"/>
    <w:pPr>
      <w:spacing w:line="480" w:lineRule="exact"/>
      <w:ind w:left="561"/>
    </w:pPr>
    <w:rPr>
      <w:rFonts w:ascii="Arial" w:hAnsi="Arial" w:eastAsia="仿宋_GB2312" w:cs="宋体"/>
      <w:b w:val="0"/>
      <w:bCs w:val="0"/>
      <w:kern w:val="0"/>
      <w:szCs w:val="22"/>
    </w:rPr>
  </w:style>
  <w:style w:type="character" w:customStyle="1" w:styleId="71">
    <w:name w:val="HTML 预设格式 字符1"/>
    <w:basedOn w:val="29"/>
    <w:qFormat/>
    <w:uiPriority w:val="0"/>
    <w:rPr>
      <w:rFonts w:ascii="Courier New" w:hAnsi="Courier New" w:cs="Courier New" w:eastAsiaTheme="minorEastAsia"/>
      <w:kern w:val="2"/>
    </w:rPr>
  </w:style>
  <w:style w:type="character" w:customStyle="1" w:styleId="72">
    <w:name w:val="批注主题 字符1"/>
    <w:basedOn w:val="62"/>
    <w:qFormat/>
    <w:uiPriority w:val="0"/>
    <w:rPr>
      <w:rFonts w:asciiTheme="minorHAnsi" w:hAnsiTheme="minorHAnsi" w:eastAsiaTheme="minorEastAsia" w:cstheme="minorBidi"/>
      <w:b/>
      <w:bCs/>
      <w:kern w:val="2"/>
      <w:sz w:val="21"/>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等线 Light" w:hAnsi="等线 Light" w:eastAsia="等线 Light" w:cs="Times New Roman"/>
      <w:color w:val="2F5496"/>
      <w:kern w:val="0"/>
      <w:sz w:val="28"/>
      <w:szCs w:val="28"/>
    </w:rPr>
  </w:style>
  <w:style w:type="paragraph" w:customStyle="1" w:styleId="74">
    <w:name w:val="Char"/>
    <w:basedOn w:val="1"/>
    <w:qFormat/>
    <w:uiPriority w:val="0"/>
    <w:rPr>
      <w:rFonts w:ascii="Tahoma" w:hAnsi="Tahoma" w:eastAsia="等线" w:cs="Times New Roman"/>
      <w:sz w:val="24"/>
      <w:szCs w:val="20"/>
    </w:rPr>
  </w:style>
  <w:style w:type="paragraph" w:customStyle="1" w:styleId="75">
    <w:name w:val="xl24"/>
    <w:basedOn w:val="1"/>
    <w:qFormat/>
    <w:uiPriority w:val="0"/>
    <w:pPr>
      <w:widowControl/>
      <w:spacing w:before="100" w:beforeAutospacing="1" w:after="100" w:afterAutospacing="1"/>
      <w:jc w:val="center"/>
      <w:textAlignment w:val="center"/>
    </w:pPr>
    <w:rPr>
      <w:rFonts w:ascii="宋体" w:hAnsi="宋体" w:eastAsia="等线" w:cs="Times New Roman"/>
      <w:kern w:val="0"/>
      <w:sz w:val="24"/>
    </w:rPr>
  </w:style>
  <w:style w:type="paragraph" w:customStyle="1" w:styleId="76">
    <w:name w:val="xl7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7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78">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79">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styleId="80">
    <w:name w:val="List Paragraph"/>
    <w:basedOn w:val="1"/>
    <w:qFormat/>
    <w:uiPriority w:val="99"/>
    <w:pPr>
      <w:ind w:firstLine="420" w:firstLineChars="200"/>
    </w:pPr>
    <w:rPr>
      <w:rFonts w:ascii="等线" w:hAnsi="等线" w:eastAsia="等线" w:cs="Times New Roman"/>
    </w:rPr>
  </w:style>
  <w:style w:type="paragraph" w:customStyle="1" w:styleId="81">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4">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5">
    <w:name w:val="9-2表内容"/>
    <w:basedOn w:val="1"/>
    <w:qFormat/>
    <w:uiPriority w:val="0"/>
    <w:pPr>
      <w:jc w:val="center"/>
      <w:textAlignment w:val="center"/>
    </w:pPr>
    <w:rPr>
      <w:rFonts w:ascii="Times New Roman" w:hAnsi="Times New Roman" w:eastAsia="仿宋_GB2312" w:cs="Times New Roman"/>
      <w:kern w:val="0"/>
      <w:szCs w:val="22"/>
      <w:lang w:val="zh-CN"/>
    </w:rPr>
  </w:style>
  <w:style w:type="paragraph" w:customStyle="1" w:styleId="86">
    <w:name w:val="（一）"/>
    <w:basedOn w:val="70"/>
    <w:qFormat/>
    <w:uiPriority w:val="0"/>
    <w:pPr>
      <w:outlineLvl w:val="2"/>
    </w:pPr>
    <w:rPr>
      <w:rFonts w:ascii="仿宋_GB2312"/>
      <w:sz w:val="30"/>
      <w:szCs w:val="30"/>
    </w:rPr>
  </w:style>
  <w:style w:type="paragraph" w:customStyle="1" w:styleId="87">
    <w:name w:val="xl69"/>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88">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8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393</Words>
  <Characters>2246</Characters>
  <Lines>18</Lines>
  <Paragraphs>5</Paragraphs>
  <TotalTime>7</TotalTime>
  <ScaleCrop>false</ScaleCrop>
  <LinksUpToDate>false</LinksUpToDate>
  <CharactersWithSpaces>2634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2019-11-12T14:06:00Z</dcterms:created>
  <dc:creator>Administrator</dc:creator>
  <cp:lastModifiedBy>guwanjun</cp:lastModifiedBy>
  <cp:lastPrinted>2019-11-13T03:16:00Z</cp:lastPrinted>
  <dcterms:modified xsi:type="dcterms:W3CDTF">2021-11-08T05:40:49Z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FD6C00E4030B408199AE39051FE41E0F</vt:lpwstr>
  </property>
</Properties>
</file>