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s>
        <w:autoSpaceDE/>
        <w:autoSpaceDN/>
        <w:snapToGrid w:val="0"/>
        <w:spacing w:line="480" w:lineRule="exact"/>
        <w:jc w:val="both"/>
        <w:textAlignment w:val="auto"/>
        <w:rPr>
          <w:rFonts w:ascii="黑体" w:hAnsi="宋体" w:eastAsia="黑体"/>
          <w:sz w:val="30"/>
          <w:szCs w:val="30"/>
        </w:rPr>
      </w:pPr>
      <w:r>
        <w:rPr>
          <w:rFonts w:hint="eastAsia"/>
        </w:rPr>
        <w:t>附件</w:t>
      </w:r>
    </w:p>
    <w:p>
      <w:pPr>
        <w:pStyle w:val="2"/>
        <w:spacing w:line="360" w:lineRule="auto"/>
        <w:ind w:left="360" w:leftChars="106" w:firstLine="2714" w:firstLineChars="901"/>
        <w:rPr>
          <w:rFonts w:ascii="黑体" w:hAnsi="宋体" w:eastAsia="黑体"/>
          <w:color w:val="auto"/>
          <w:sz w:val="30"/>
          <w:szCs w:val="30"/>
        </w:rPr>
      </w:pPr>
      <w:bookmarkStart w:id="0" w:name="_Toc519072687"/>
      <w:r>
        <w:rPr>
          <w:rFonts w:hint="eastAsia" w:ascii="黑体" w:hAnsi="宋体" w:eastAsia="黑体"/>
          <w:color w:val="auto"/>
          <w:sz w:val="30"/>
          <w:szCs w:val="30"/>
        </w:rPr>
        <w:t>采购需求</w:t>
      </w:r>
      <w:bookmarkEnd w:id="0"/>
    </w:p>
    <w:p>
      <w:pPr>
        <w:snapToGrid w:val="0"/>
        <w:spacing w:line="500" w:lineRule="exact"/>
        <w:rPr>
          <w:rFonts w:hint="eastAsia" w:hAnsi="宋体" w:cs="宋体"/>
          <w:b/>
          <w:bCs/>
          <w:sz w:val="21"/>
          <w:szCs w:val="21"/>
        </w:rPr>
      </w:pPr>
      <w:r>
        <w:rPr>
          <w:rFonts w:hint="eastAsia" w:hAnsi="宋体" w:cs="宋体"/>
          <w:b/>
          <w:bCs/>
          <w:sz w:val="21"/>
          <w:szCs w:val="21"/>
        </w:rPr>
        <w:t>一、采购需求</w:t>
      </w:r>
    </w:p>
    <w:p>
      <w:pPr>
        <w:snapToGrid w:val="0"/>
        <w:spacing w:line="500" w:lineRule="exact"/>
        <w:ind w:firstLine="420"/>
        <w:rPr>
          <w:rFonts w:hint="eastAsia" w:hAnsi="宋体" w:cs="宋体"/>
          <w:sz w:val="21"/>
          <w:szCs w:val="21"/>
        </w:rPr>
      </w:pPr>
      <w:r>
        <w:rPr>
          <w:rFonts w:hint="eastAsia" w:hAnsi="宋体" w:cs="宋体"/>
          <w:sz w:val="21"/>
          <w:szCs w:val="21"/>
        </w:rPr>
        <w:t>（一）投保人为义乌市福利彩票中心。</w:t>
      </w:r>
    </w:p>
    <w:p>
      <w:pPr>
        <w:snapToGrid w:val="0"/>
        <w:spacing w:line="500" w:lineRule="exact"/>
        <w:ind w:firstLine="420"/>
        <w:rPr>
          <w:rFonts w:hint="eastAsia" w:hAnsi="宋体" w:cs="宋体"/>
          <w:sz w:val="21"/>
          <w:szCs w:val="21"/>
        </w:rPr>
      </w:pPr>
      <w:r>
        <w:rPr>
          <w:rFonts w:hint="eastAsia" w:hAnsi="宋体" w:cs="宋体"/>
          <w:sz w:val="21"/>
          <w:szCs w:val="21"/>
        </w:rPr>
        <w:t>（二）项目概况：本项目按照福彩投注站300个（家）结算，合同期内投注站数量在±5%以内浮动并</w:t>
      </w:r>
      <w:bookmarkStart w:id="1" w:name="_GoBack"/>
      <w:bookmarkEnd w:id="1"/>
      <w:r>
        <w:rPr>
          <w:rFonts w:hint="eastAsia" w:hAnsi="宋体" w:cs="宋体"/>
          <w:sz w:val="21"/>
          <w:szCs w:val="21"/>
        </w:rPr>
        <w:t>影响保费金额的，由供应商承担，投注站数量超过±5%浮动的，由采购人及供应商协商确定。</w:t>
      </w:r>
    </w:p>
    <w:p>
      <w:pPr>
        <w:snapToGrid w:val="0"/>
        <w:spacing w:line="500" w:lineRule="exact"/>
        <w:ind w:firstLine="420"/>
        <w:rPr>
          <w:rFonts w:hint="eastAsia" w:hAnsi="宋体" w:cs="宋体"/>
          <w:sz w:val="21"/>
          <w:szCs w:val="21"/>
        </w:rPr>
      </w:pPr>
      <w:r>
        <w:rPr>
          <w:rFonts w:hint="eastAsia" w:hAnsi="宋体" w:cs="宋体"/>
          <w:sz w:val="21"/>
          <w:szCs w:val="21"/>
        </w:rPr>
        <w:t>（三）义乌市福彩投注站。</w:t>
      </w:r>
    </w:p>
    <w:p>
      <w:pPr>
        <w:snapToGrid w:val="0"/>
        <w:spacing w:line="500" w:lineRule="exact"/>
        <w:ind w:firstLine="420"/>
        <w:rPr>
          <w:rFonts w:hint="eastAsia" w:hAnsi="宋体" w:cs="宋体"/>
          <w:sz w:val="21"/>
          <w:szCs w:val="21"/>
        </w:rPr>
      </w:pPr>
      <w:r>
        <w:rPr>
          <w:rFonts w:hint="eastAsia" w:hAnsi="宋体" w:cs="宋体"/>
          <w:sz w:val="21"/>
          <w:szCs w:val="21"/>
        </w:rPr>
        <w:t>（四）服务地点：义乌市。</w:t>
      </w:r>
    </w:p>
    <w:p>
      <w:pPr>
        <w:numPr>
          <w:ilvl w:val="0"/>
          <w:numId w:val="1"/>
        </w:numPr>
        <w:snapToGrid w:val="0"/>
        <w:spacing w:line="500" w:lineRule="exact"/>
        <w:ind w:firstLine="420"/>
        <w:rPr>
          <w:rFonts w:hint="eastAsia" w:hAnsi="宋体" w:cs="宋体"/>
          <w:sz w:val="21"/>
          <w:szCs w:val="21"/>
        </w:rPr>
      </w:pPr>
      <w:r>
        <w:rPr>
          <w:rFonts w:hint="eastAsia" w:hAnsi="宋体" w:cs="宋体"/>
          <w:sz w:val="21"/>
          <w:szCs w:val="21"/>
        </w:rPr>
        <w:t>投保人员：每个福彩投注站投保1名销售员，预计投保300人。</w:t>
      </w:r>
    </w:p>
    <w:p>
      <w:pPr>
        <w:numPr>
          <w:ilvl w:val="0"/>
          <w:numId w:val="1"/>
        </w:numPr>
        <w:snapToGrid w:val="0"/>
        <w:spacing w:line="500" w:lineRule="exact"/>
        <w:ind w:firstLine="420"/>
        <w:rPr>
          <w:rFonts w:hint="eastAsia" w:hAnsi="宋体" w:cs="宋体"/>
          <w:sz w:val="21"/>
          <w:szCs w:val="21"/>
        </w:rPr>
      </w:pPr>
      <w:r>
        <w:rPr>
          <w:rFonts w:hint="eastAsia" w:hAnsi="宋体" w:cs="宋体"/>
          <w:sz w:val="21"/>
          <w:szCs w:val="21"/>
        </w:rPr>
        <w:t>投保险种：公众责任险、财产险及团体人身意外伤害保险。</w:t>
      </w:r>
    </w:p>
    <w:p>
      <w:pPr>
        <w:snapToGrid w:val="0"/>
        <w:spacing w:line="500" w:lineRule="exact"/>
        <w:ind w:firstLine="420"/>
        <w:rPr>
          <w:rFonts w:hAnsi="宋体" w:cs="宋体"/>
          <w:sz w:val="21"/>
          <w:szCs w:val="21"/>
        </w:rPr>
      </w:pPr>
      <w:r>
        <w:rPr>
          <w:rFonts w:hint="eastAsia" w:hAnsi="宋体" w:cs="宋体"/>
          <w:sz w:val="21"/>
          <w:szCs w:val="21"/>
        </w:rPr>
        <w:t>（七）保险费：本项目为固定保费300元/家（门店）/年</w:t>
      </w:r>
    </w:p>
    <w:p>
      <w:pPr>
        <w:snapToGrid w:val="0"/>
        <w:spacing w:line="500" w:lineRule="exact"/>
        <w:ind w:firstLine="420"/>
        <w:rPr>
          <w:rFonts w:hint="eastAsia" w:hAnsi="宋体" w:cs="宋体"/>
          <w:sz w:val="21"/>
          <w:szCs w:val="21"/>
        </w:rPr>
      </w:pPr>
      <w:r>
        <w:rPr>
          <w:rFonts w:hint="eastAsia" w:hAnsi="宋体" w:cs="宋体"/>
          <w:sz w:val="21"/>
          <w:szCs w:val="21"/>
        </w:rPr>
        <w:t>（八）赔偿限额</w:t>
      </w:r>
    </w:p>
    <w:tbl>
      <w:tblPr>
        <w:tblStyle w:val="8"/>
        <w:tblW w:w="9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9"/>
        <w:gridCol w:w="1325"/>
        <w:gridCol w:w="1385"/>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9" w:type="dxa"/>
            <w:noWrap w:val="0"/>
            <w:vAlign w:val="center"/>
          </w:tcPr>
          <w:p>
            <w:pPr>
              <w:jc w:val="center"/>
              <w:rPr>
                <w:rFonts w:hint="eastAsia" w:hAnsi="宋体" w:cs="宋体"/>
                <w:sz w:val="21"/>
                <w:szCs w:val="21"/>
              </w:rPr>
            </w:pPr>
            <w:r>
              <w:rPr>
                <w:rFonts w:hint="eastAsia" w:hAnsi="宋体" w:cs="宋体"/>
                <w:b/>
                <w:bCs/>
                <w:sz w:val="21"/>
                <w:szCs w:val="21"/>
              </w:rPr>
              <w:t>保险责任</w:t>
            </w:r>
          </w:p>
        </w:tc>
        <w:tc>
          <w:tcPr>
            <w:tcW w:w="1325" w:type="dxa"/>
            <w:noWrap w:val="0"/>
            <w:vAlign w:val="center"/>
          </w:tcPr>
          <w:p>
            <w:pPr>
              <w:ind w:firstLine="198" w:firstLineChars="94"/>
              <w:jc w:val="center"/>
              <w:rPr>
                <w:rFonts w:hint="eastAsia" w:hAnsi="宋体" w:cs="宋体"/>
                <w:sz w:val="21"/>
                <w:szCs w:val="21"/>
              </w:rPr>
            </w:pPr>
            <w:r>
              <w:rPr>
                <w:rFonts w:hint="eastAsia" w:hAnsi="宋体" w:cs="宋体"/>
                <w:b/>
                <w:bCs/>
                <w:sz w:val="21"/>
                <w:szCs w:val="21"/>
              </w:rPr>
              <w:t>最低保额要求</w:t>
            </w:r>
          </w:p>
        </w:tc>
        <w:tc>
          <w:tcPr>
            <w:tcW w:w="1385" w:type="dxa"/>
            <w:noWrap w:val="0"/>
            <w:vAlign w:val="center"/>
          </w:tcPr>
          <w:p>
            <w:pPr>
              <w:jc w:val="center"/>
              <w:rPr>
                <w:rFonts w:hint="eastAsia" w:hAnsi="宋体" w:cs="宋体"/>
                <w:sz w:val="21"/>
                <w:szCs w:val="21"/>
              </w:rPr>
            </w:pPr>
            <w:r>
              <w:rPr>
                <w:rFonts w:hint="eastAsia" w:hAnsi="宋体" w:cs="宋体"/>
                <w:b/>
                <w:bCs/>
                <w:sz w:val="21"/>
                <w:szCs w:val="21"/>
              </w:rPr>
              <w:t>赔付对象</w:t>
            </w:r>
          </w:p>
        </w:tc>
        <w:tc>
          <w:tcPr>
            <w:tcW w:w="4140" w:type="dxa"/>
            <w:noWrap w:val="0"/>
            <w:vAlign w:val="center"/>
          </w:tcPr>
          <w:p>
            <w:pPr>
              <w:jc w:val="center"/>
              <w:rPr>
                <w:rFonts w:hint="eastAsia" w:hAnsi="宋体" w:cs="宋体"/>
                <w:sz w:val="21"/>
                <w:szCs w:val="21"/>
              </w:rPr>
            </w:pPr>
            <w:r>
              <w:rPr>
                <w:rFonts w:hint="eastAsia" w:hAnsi="宋体" w:cs="宋体"/>
                <w:b/>
                <w:bCs/>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9" w:type="dxa"/>
            <w:noWrap w:val="0"/>
            <w:vAlign w:val="center"/>
          </w:tcPr>
          <w:p>
            <w:pPr>
              <w:jc w:val="center"/>
              <w:rPr>
                <w:rFonts w:hint="eastAsia" w:hAnsi="宋体" w:cs="宋体"/>
                <w:sz w:val="21"/>
                <w:szCs w:val="21"/>
              </w:rPr>
            </w:pPr>
            <w:r>
              <w:rPr>
                <w:rFonts w:hint="eastAsia" w:hAnsi="宋体" w:cs="宋体"/>
                <w:sz w:val="21"/>
                <w:szCs w:val="21"/>
              </w:rPr>
              <w:t>公众责任险</w:t>
            </w:r>
          </w:p>
        </w:tc>
        <w:tc>
          <w:tcPr>
            <w:tcW w:w="1325" w:type="dxa"/>
            <w:noWrap w:val="0"/>
            <w:vAlign w:val="center"/>
          </w:tcPr>
          <w:p>
            <w:pPr>
              <w:jc w:val="center"/>
              <w:rPr>
                <w:rFonts w:hint="eastAsia" w:hAnsi="宋体" w:cs="宋体"/>
                <w:sz w:val="21"/>
                <w:szCs w:val="21"/>
              </w:rPr>
            </w:pPr>
            <w:r>
              <w:rPr>
                <w:rFonts w:hint="eastAsia" w:hAnsi="宋体" w:cs="宋体"/>
                <w:sz w:val="21"/>
                <w:szCs w:val="21"/>
              </w:rPr>
              <w:t>年累计赔偿限额1000万元</w:t>
            </w:r>
          </w:p>
        </w:tc>
        <w:tc>
          <w:tcPr>
            <w:tcW w:w="1385" w:type="dxa"/>
            <w:noWrap w:val="0"/>
            <w:vAlign w:val="center"/>
          </w:tcPr>
          <w:p>
            <w:pPr>
              <w:jc w:val="center"/>
              <w:rPr>
                <w:rFonts w:hint="eastAsia" w:hAnsi="宋体" w:cs="宋体"/>
                <w:sz w:val="21"/>
                <w:szCs w:val="21"/>
              </w:rPr>
            </w:pPr>
            <w:r>
              <w:rPr>
                <w:rFonts w:hint="eastAsia" w:hAnsi="宋体" w:cs="宋体"/>
                <w:sz w:val="21"/>
                <w:szCs w:val="21"/>
              </w:rPr>
              <w:t>福彩投注站</w:t>
            </w:r>
          </w:p>
        </w:tc>
        <w:tc>
          <w:tcPr>
            <w:tcW w:w="4140" w:type="dxa"/>
            <w:noWrap w:val="0"/>
            <w:vAlign w:val="top"/>
          </w:tcPr>
          <w:p>
            <w:pPr>
              <w:rPr>
                <w:rFonts w:hint="eastAsia" w:hAnsi="宋体" w:cs="宋体"/>
                <w:sz w:val="21"/>
                <w:szCs w:val="21"/>
              </w:rPr>
            </w:pPr>
            <w:r>
              <w:rPr>
                <w:rFonts w:hint="eastAsia" w:hAnsi="宋体" w:cs="宋体"/>
                <w:sz w:val="21"/>
                <w:szCs w:val="21"/>
              </w:rPr>
              <w:t>1．每次事故赔偿限额1000万元（</w:t>
            </w:r>
            <w:r>
              <w:rPr>
                <w:rFonts w:hint="eastAsia" w:hAnsi="宋体" w:cs="宋体"/>
                <w:b/>
                <w:bCs/>
                <w:sz w:val="21"/>
                <w:szCs w:val="21"/>
              </w:rPr>
              <w:t>保额按照实际报价调整</w:t>
            </w:r>
            <w:r>
              <w:rPr>
                <w:rFonts w:hint="eastAsia" w:hAnsi="宋体" w:cs="宋体"/>
                <w:sz w:val="21"/>
                <w:szCs w:val="21"/>
              </w:rPr>
              <w:t>）；</w:t>
            </w:r>
          </w:p>
          <w:p>
            <w:pPr>
              <w:rPr>
                <w:rFonts w:hint="eastAsia" w:hAnsi="宋体" w:cs="宋体"/>
                <w:sz w:val="21"/>
                <w:szCs w:val="21"/>
              </w:rPr>
            </w:pPr>
            <w:r>
              <w:rPr>
                <w:rFonts w:hint="eastAsia" w:hAnsi="宋体" w:cs="宋体"/>
                <w:sz w:val="21"/>
                <w:szCs w:val="21"/>
              </w:rPr>
              <w:t>其中，每次事故每人赔偿限额（含人身伤亡、医疗、财产等）100万元；</w:t>
            </w:r>
          </w:p>
          <w:p>
            <w:pPr>
              <w:rPr>
                <w:rFonts w:hint="eastAsia" w:hAnsi="宋体" w:cs="宋体"/>
                <w:sz w:val="21"/>
                <w:szCs w:val="21"/>
              </w:rPr>
            </w:pPr>
            <w:r>
              <w:rPr>
                <w:rFonts w:hint="eastAsia" w:hAnsi="宋体" w:cs="宋体"/>
                <w:sz w:val="21"/>
                <w:szCs w:val="21"/>
              </w:rPr>
              <w:t>2．每次事故免赔额（医疗、财产）1000元或10%,二者以高者为准。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6" w:hRule="atLeast"/>
        </w:trPr>
        <w:tc>
          <w:tcPr>
            <w:tcW w:w="2519" w:type="dxa"/>
            <w:noWrap w:val="0"/>
            <w:vAlign w:val="center"/>
          </w:tcPr>
          <w:p>
            <w:pPr>
              <w:jc w:val="center"/>
              <w:rPr>
                <w:rFonts w:hint="eastAsia" w:hAnsi="宋体" w:cs="宋体"/>
                <w:sz w:val="21"/>
                <w:szCs w:val="21"/>
              </w:rPr>
            </w:pPr>
            <w:r>
              <w:rPr>
                <w:rFonts w:hint="eastAsia" w:hAnsi="宋体" w:cs="宋体"/>
                <w:sz w:val="21"/>
                <w:szCs w:val="21"/>
              </w:rPr>
              <w:t>团体人身意外伤害保险（意外伤害身故、残疾）</w:t>
            </w:r>
          </w:p>
        </w:tc>
        <w:tc>
          <w:tcPr>
            <w:tcW w:w="1325" w:type="dxa"/>
            <w:noWrap w:val="0"/>
            <w:vAlign w:val="center"/>
          </w:tcPr>
          <w:p>
            <w:pPr>
              <w:jc w:val="center"/>
              <w:rPr>
                <w:rFonts w:hint="eastAsia" w:hAnsi="宋体" w:cs="宋体"/>
                <w:sz w:val="21"/>
                <w:szCs w:val="21"/>
              </w:rPr>
            </w:pPr>
            <w:r>
              <w:rPr>
                <w:rFonts w:hint="eastAsia" w:hAnsi="宋体" w:cs="宋体"/>
                <w:sz w:val="21"/>
                <w:szCs w:val="21"/>
              </w:rPr>
              <w:t>100万元/人</w:t>
            </w:r>
          </w:p>
        </w:tc>
        <w:tc>
          <w:tcPr>
            <w:tcW w:w="1385" w:type="dxa"/>
            <w:noWrap w:val="0"/>
            <w:vAlign w:val="center"/>
          </w:tcPr>
          <w:p>
            <w:pPr>
              <w:jc w:val="center"/>
              <w:rPr>
                <w:rFonts w:hint="eastAsia" w:hAnsi="宋体" w:cs="宋体"/>
                <w:sz w:val="21"/>
                <w:szCs w:val="21"/>
              </w:rPr>
            </w:pPr>
            <w:r>
              <w:rPr>
                <w:rFonts w:hint="eastAsia" w:hAnsi="宋体" w:cs="宋体"/>
                <w:sz w:val="21"/>
                <w:szCs w:val="21"/>
              </w:rPr>
              <w:t>福彩投注站销售员</w:t>
            </w:r>
          </w:p>
        </w:tc>
        <w:tc>
          <w:tcPr>
            <w:tcW w:w="4140" w:type="dxa"/>
            <w:vMerge w:val="restart"/>
            <w:noWrap w:val="0"/>
            <w:vAlign w:val="top"/>
          </w:tcPr>
          <w:p>
            <w:pPr>
              <w:rPr>
                <w:rFonts w:hint="eastAsia" w:hAnsi="宋体" w:cs="宋体"/>
                <w:sz w:val="21"/>
                <w:szCs w:val="21"/>
              </w:rPr>
            </w:pPr>
            <w:r>
              <w:rPr>
                <w:rFonts w:hint="eastAsia" w:hAnsi="宋体" w:cs="宋体"/>
                <w:sz w:val="21"/>
                <w:szCs w:val="21"/>
              </w:rPr>
              <w:t>1．工作期间，即在福彩销售投注站营业时间内（投注站会营业至凌晨1点）发生的意外事故。</w:t>
            </w:r>
          </w:p>
          <w:p>
            <w:pPr>
              <w:rPr>
                <w:rFonts w:hint="eastAsia" w:hAnsi="宋体" w:cs="宋体"/>
                <w:b/>
                <w:sz w:val="21"/>
                <w:szCs w:val="21"/>
              </w:rPr>
            </w:pPr>
            <w:r>
              <w:rPr>
                <w:rFonts w:hint="eastAsia" w:hAnsi="宋体" w:cs="宋体"/>
                <w:sz w:val="21"/>
                <w:szCs w:val="21"/>
              </w:rPr>
              <w:t>2．上下班途中意外身故、残疾50万元，意外医疗5万元；</w:t>
            </w:r>
            <w:r>
              <w:rPr>
                <w:rFonts w:hint="eastAsia" w:hAnsi="宋体" w:cs="宋体"/>
                <w:b/>
                <w:sz w:val="21"/>
                <w:szCs w:val="21"/>
              </w:rPr>
              <w:t>（此项固定，不必报价）。</w:t>
            </w:r>
          </w:p>
          <w:p>
            <w:pPr>
              <w:rPr>
                <w:rFonts w:hint="eastAsia" w:hAnsi="宋体" w:cs="宋体"/>
                <w:bCs/>
                <w:sz w:val="21"/>
                <w:szCs w:val="21"/>
              </w:rPr>
            </w:pPr>
            <w:r>
              <w:rPr>
                <w:rFonts w:hint="eastAsia" w:hAnsi="宋体" w:cs="宋体"/>
                <w:bCs/>
                <w:sz w:val="21"/>
                <w:szCs w:val="21"/>
              </w:rPr>
              <w:t>3.除工作时间和上下班途中的其余意外事故不含在本保险范围中。</w:t>
            </w:r>
          </w:p>
          <w:p>
            <w:pPr>
              <w:rPr>
                <w:rFonts w:hint="eastAsia" w:hAnsi="宋体" w:cs="宋体"/>
                <w:sz w:val="21"/>
                <w:szCs w:val="21"/>
              </w:rPr>
            </w:pPr>
            <w:r>
              <w:rPr>
                <w:rFonts w:hint="eastAsia" w:hAnsi="宋体" w:cs="宋体"/>
                <w:sz w:val="21"/>
                <w:szCs w:val="21"/>
              </w:rPr>
              <w:t>4．意外伤害残疾评残标准为新行标1-10级别。</w:t>
            </w:r>
          </w:p>
          <w:p>
            <w:pPr>
              <w:rPr>
                <w:rFonts w:hint="eastAsia" w:hAnsi="宋体" w:cs="宋体"/>
                <w:sz w:val="21"/>
                <w:szCs w:val="21"/>
              </w:rPr>
            </w:pPr>
            <w:r>
              <w:rPr>
                <w:rFonts w:hint="eastAsia" w:hAnsi="宋体" w:cs="宋体"/>
                <w:sz w:val="21"/>
                <w:szCs w:val="21"/>
              </w:rPr>
              <w:t>5. 意外伤害医疗免赔200元，赔付比例80%，承担门诊、住院的合理医疗费用。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9" w:type="dxa"/>
            <w:noWrap w:val="0"/>
            <w:vAlign w:val="center"/>
          </w:tcPr>
          <w:p>
            <w:pPr>
              <w:jc w:val="center"/>
              <w:rPr>
                <w:rFonts w:hint="eastAsia" w:hAnsi="宋体" w:cs="宋体"/>
                <w:sz w:val="21"/>
                <w:szCs w:val="21"/>
              </w:rPr>
            </w:pPr>
            <w:r>
              <w:rPr>
                <w:rFonts w:hint="eastAsia" w:hAnsi="宋体" w:cs="宋体"/>
                <w:sz w:val="21"/>
                <w:szCs w:val="21"/>
              </w:rPr>
              <w:t>团体人身意外伤害保险（意外伤害医疗）</w:t>
            </w:r>
          </w:p>
        </w:tc>
        <w:tc>
          <w:tcPr>
            <w:tcW w:w="1325" w:type="dxa"/>
            <w:noWrap w:val="0"/>
            <w:vAlign w:val="center"/>
          </w:tcPr>
          <w:p>
            <w:pPr>
              <w:jc w:val="center"/>
              <w:rPr>
                <w:rFonts w:hint="eastAsia" w:hAnsi="宋体" w:cs="宋体"/>
                <w:sz w:val="21"/>
                <w:szCs w:val="21"/>
              </w:rPr>
            </w:pPr>
            <w:r>
              <w:rPr>
                <w:rFonts w:hint="eastAsia" w:hAnsi="宋体" w:cs="宋体"/>
                <w:sz w:val="21"/>
                <w:szCs w:val="21"/>
              </w:rPr>
              <w:t>35万元/人</w:t>
            </w:r>
          </w:p>
        </w:tc>
        <w:tc>
          <w:tcPr>
            <w:tcW w:w="1385" w:type="dxa"/>
            <w:noWrap w:val="0"/>
            <w:vAlign w:val="center"/>
          </w:tcPr>
          <w:p>
            <w:pPr>
              <w:jc w:val="center"/>
              <w:rPr>
                <w:rFonts w:hint="eastAsia" w:hAnsi="宋体" w:cs="宋体"/>
                <w:sz w:val="21"/>
                <w:szCs w:val="21"/>
              </w:rPr>
            </w:pPr>
            <w:r>
              <w:rPr>
                <w:rFonts w:hint="eastAsia" w:hAnsi="宋体" w:cs="宋体"/>
                <w:sz w:val="21"/>
                <w:szCs w:val="21"/>
              </w:rPr>
              <w:t>福彩投注站销售员</w:t>
            </w:r>
          </w:p>
        </w:tc>
        <w:tc>
          <w:tcPr>
            <w:tcW w:w="4140" w:type="dxa"/>
            <w:vMerge w:val="continue"/>
            <w:noWrap w:val="0"/>
            <w:vAlign w:val="top"/>
          </w:tcPr>
          <w:p>
            <w:pPr>
              <w:ind w:firstLine="420"/>
              <w:rPr>
                <w:rFonts w:hint="eastAsia"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9" w:type="dxa"/>
            <w:noWrap w:val="0"/>
            <w:vAlign w:val="center"/>
          </w:tcPr>
          <w:p>
            <w:pPr>
              <w:jc w:val="center"/>
              <w:rPr>
                <w:rFonts w:hint="eastAsia" w:hAnsi="宋体" w:cs="宋体"/>
                <w:sz w:val="21"/>
                <w:szCs w:val="21"/>
              </w:rPr>
            </w:pPr>
            <w:r>
              <w:rPr>
                <w:rFonts w:hint="eastAsia" w:hAnsi="宋体" w:cs="宋体"/>
                <w:sz w:val="21"/>
                <w:szCs w:val="21"/>
              </w:rPr>
              <w:t>团体人身意外伤害保险（住院生活津贴）</w:t>
            </w:r>
          </w:p>
        </w:tc>
        <w:tc>
          <w:tcPr>
            <w:tcW w:w="1325" w:type="dxa"/>
            <w:noWrap w:val="0"/>
            <w:vAlign w:val="center"/>
          </w:tcPr>
          <w:p>
            <w:pPr>
              <w:jc w:val="center"/>
              <w:rPr>
                <w:rFonts w:hint="eastAsia" w:hAnsi="宋体" w:cs="宋体"/>
                <w:sz w:val="21"/>
                <w:szCs w:val="21"/>
              </w:rPr>
            </w:pPr>
            <w:r>
              <w:rPr>
                <w:rFonts w:hint="eastAsia" w:hAnsi="宋体" w:cs="宋体"/>
                <w:sz w:val="21"/>
                <w:szCs w:val="21"/>
              </w:rPr>
              <w:t>120元/天</w:t>
            </w:r>
          </w:p>
        </w:tc>
        <w:tc>
          <w:tcPr>
            <w:tcW w:w="1385" w:type="dxa"/>
            <w:noWrap w:val="0"/>
            <w:vAlign w:val="center"/>
          </w:tcPr>
          <w:p>
            <w:pPr>
              <w:jc w:val="center"/>
              <w:rPr>
                <w:rFonts w:hint="eastAsia" w:hAnsi="宋体" w:cs="宋体"/>
                <w:sz w:val="21"/>
                <w:szCs w:val="21"/>
              </w:rPr>
            </w:pPr>
            <w:r>
              <w:rPr>
                <w:rFonts w:hint="eastAsia" w:hAnsi="宋体" w:cs="宋体"/>
                <w:sz w:val="21"/>
                <w:szCs w:val="21"/>
              </w:rPr>
              <w:t>福彩投注站销售员</w:t>
            </w:r>
          </w:p>
        </w:tc>
        <w:tc>
          <w:tcPr>
            <w:tcW w:w="4140" w:type="dxa"/>
            <w:noWrap w:val="0"/>
            <w:vAlign w:val="center"/>
          </w:tcPr>
          <w:p>
            <w:pPr>
              <w:rPr>
                <w:rFonts w:hint="eastAsia" w:hAnsi="宋体" w:cs="宋体"/>
                <w:sz w:val="21"/>
                <w:szCs w:val="21"/>
              </w:rPr>
            </w:pPr>
            <w:r>
              <w:rPr>
                <w:rFonts w:hint="eastAsia" w:hAnsi="宋体" w:cs="宋体"/>
                <w:sz w:val="21"/>
                <w:szCs w:val="21"/>
              </w:rPr>
              <w:t>累计赔付不超过180天；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2519" w:type="dxa"/>
            <w:noWrap w:val="0"/>
            <w:vAlign w:val="center"/>
          </w:tcPr>
          <w:p>
            <w:pPr>
              <w:jc w:val="center"/>
              <w:rPr>
                <w:rFonts w:hint="eastAsia" w:hAnsi="宋体" w:cs="宋体"/>
                <w:sz w:val="21"/>
                <w:szCs w:val="21"/>
              </w:rPr>
            </w:pPr>
            <w:r>
              <w:rPr>
                <w:rFonts w:hint="eastAsia" w:hAnsi="宋体" w:cs="宋体"/>
                <w:sz w:val="21"/>
                <w:szCs w:val="21"/>
              </w:rPr>
              <w:t>财产一切险</w:t>
            </w:r>
          </w:p>
        </w:tc>
        <w:tc>
          <w:tcPr>
            <w:tcW w:w="1325" w:type="dxa"/>
            <w:noWrap w:val="0"/>
            <w:vAlign w:val="center"/>
          </w:tcPr>
          <w:p>
            <w:pPr>
              <w:jc w:val="center"/>
              <w:rPr>
                <w:rFonts w:hint="eastAsia" w:hAnsi="宋体" w:cs="宋体"/>
                <w:sz w:val="21"/>
                <w:szCs w:val="21"/>
              </w:rPr>
            </w:pPr>
            <w:r>
              <w:rPr>
                <w:rFonts w:hint="eastAsia" w:hAnsi="宋体" w:cs="宋体"/>
                <w:sz w:val="21"/>
                <w:szCs w:val="21"/>
              </w:rPr>
              <w:t>每店6万元</w:t>
            </w:r>
          </w:p>
        </w:tc>
        <w:tc>
          <w:tcPr>
            <w:tcW w:w="1385" w:type="dxa"/>
            <w:noWrap w:val="0"/>
            <w:vAlign w:val="center"/>
          </w:tcPr>
          <w:p>
            <w:pPr>
              <w:jc w:val="center"/>
              <w:rPr>
                <w:rFonts w:hint="eastAsia" w:hAnsi="宋体" w:cs="宋体"/>
                <w:sz w:val="21"/>
                <w:szCs w:val="21"/>
              </w:rPr>
            </w:pPr>
            <w:r>
              <w:rPr>
                <w:rFonts w:hint="eastAsia" w:hAnsi="宋体" w:cs="宋体"/>
                <w:sz w:val="21"/>
                <w:szCs w:val="21"/>
              </w:rPr>
              <w:t>福彩投注站业主</w:t>
            </w:r>
          </w:p>
        </w:tc>
        <w:tc>
          <w:tcPr>
            <w:tcW w:w="4140" w:type="dxa"/>
            <w:noWrap w:val="0"/>
            <w:vAlign w:val="center"/>
          </w:tcPr>
          <w:p>
            <w:pPr>
              <w:rPr>
                <w:rFonts w:hint="eastAsia" w:hAnsi="宋体" w:cs="宋体"/>
                <w:sz w:val="21"/>
                <w:szCs w:val="21"/>
              </w:rPr>
            </w:pPr>
            <w:r>
              <w:rPr>
                <w:rFonts w:hint="eastAsia" w:hAnsi="宋体" w:cs="宋体"/>
                <w:sz w:val="21"/>
                <w:szCs w:val="21"/>
              </w:rPr>
              <w:t>赔付24小时内全天由火灾、爆炸、自然灾害、意外事故等导致的财产损失，并附加盗窃、抢劫责任（此二项以公安立案为依据）。免赔500元。</w:t>
            </w:r>
          </w:p>
        </w:tc>
      </w:tr>
    </w:tbl>
    <w:p>
      <w:pPr>
        <w:snapToGrid w:val="0"/>
        <w:spacing w:line="500" w:lineRule="exact"/>
        <w:ind w:firstLine="420"/>
        <w:rPr>
          <w:rFonts w:hint="eastAsia" w:hAnsi="宋体" w:cs="宋体"/>
          <w:sz w:val="21"/>
          <w:szCs w:val="21"/>
        </w:rPr>
      </w:pPr>
      <w:r>
        <w:rPr>
          <w:rFonts w:hint="eastAsia" w:hAnsi="宋体" w:cs="宋体"/>
          <w:sz w:val="21"/>
          <w:szCs w:val="21"/>
        </w:rPr>
        <w:t>（八）保险合同期限</w:t>
      </w:r>
    </w:p>
    <w:p>
      <w:pPr>
        <w:snapToGrid w:val="0"/>
        <w:spacing w:line="500" w:lineRule="exact"/>
        <w:ind w:firstLine="420"/>
        <w:rPr>
          <w:rFonts w:hAnsi="宋体" w:cs="宋体"/>
          <w:sz w:val="21"/>
          <w:szCs w:val="21"/>
        </w:rPr>
      </w:pPr>
      <w:r>
        <w:rPr>
          <w:rFonts w:hint="eastAsia" w:hAnsi="宋体" w:cs="宋体"/>
          <w:sz w:val="21"/>
          <w:szCs w:val="21"/>
        </w:rPr>
        <w:t>从保险签订之日起开始计算，为期一年，如双方满意，续签一年，最多续签二年；如续签时门店数量较上年度增减浮动不到30家，则按照上一年度投注站数量签订合同；如续签时门店数量较上年度增减浮动达到30家（含）以上，则以实际投注站数量确定。</w:t>
      </w:r>
    </w:p>
    <w:p>
      <w:pPr>
        <w:snapToGrid w:val="0"/>
        <w:spacing w:line="500" w:lineRule="exact"/>
        <w:ind w:firstLine="420"/>
        <w:rPr>
          <w:rFonts w:hint="eastAsia" w:hAnsi="宋体" w:cs="宋体"/>
          <w:sz w:val="21"/>
          <w:szCs w:val="21"/>
        </w:rPr>
      </w:pPr>
      <w:r>
        <w:rPr>
          <w:rFonts w:hint="eastAsia" w:hAnsi="宋体" w:cs="宋体"/>
          <w:sz w:val="21"/>
          <w:szCs w:val="21"/>
        </w:rPr>
        <w:t>（九）理赔服务</w:t>
      </w:r>
    </w:p>
    <w:p>
      <w:pPr>
        <w:snapToGrid w:val="0"/>
        <w:spacing w:line="500" w:lineRule="exact"/>
        <w:ind w:firstLine="420"/>
        <w:rPr>
          <w:rFonts w:hint="eastAsia" w:hAnsi="宋体" w:cs="宋体"/>
          <w:sz w:val="21"/>
          <w:szCs w:val="21"/>
        </w:rPr>
      </w:pPr>
      <w:r>
        <w:rPr>
          <w:rFonts w:hint="eastAsia" w:hAnsi="宋体" w:cs="宋体"/>
          <w:sz w:val="21"/>
          <w:szCs w:val="21"/>
        </w:rPr>
        <w:t>由于本险种具有被保险人分散的特点，为确保理赔的时效性，提高售后服务质量，需提供以下理赔服务：</w:t>
      </w:r>
    </w:p>
    <w:p>
      <w:pPr>
        <w:snapToGrid w:val="0"/>
        <w:spacing w:line="500" w:lineRule="exact"/>
        <w:ind w:firstLine="420"/>
        <w:rPr>
          <w:rFonts w:hint="eastAsia" w:hAnsi="宋体" w:cs="宋体"/>
          <w:sz w:val="21"/>
          <w:szCs w:val="21"/>
        </w:rPr>
      </w:pPr>
      <w:r>
        <w:rPr>
          <w:rFonts w:hint="eastAsia" w:hAnsi="宋体" w:cs="宋体"/>
          <w:sz w:val="21"/>
          <w:szCs w:val="21"/>
        </w:rPr>
        <w:t>1、 供应商应提供365天无休日，24小时报案服务及保险理赔咨询服务。在系统内部特设案件分派系统，并匹配理赔专家，以高效简洁的流程服务于投保人单位，并将投保人单位列入“理赔快速通道”客户名单，较一般案件减少单证需求并简化环节。</w:t>
      </w:r>
    </w:p>
    <w:p>
      <w:pPr>
        <w:snapToGrid w:val="0"/>
        <w:spacing w:line="500" w:lineRule="exact"/>
        <w:ind w:firstLine="420"/>
        <w:rPr>
          <w:rFonts w:hint="eastAsia" w:hAnsi="宋体" w:cs="宋体"/>
          <w:sz w:val="21"/>
          <w:szCs w:val="21"/>
        </w:rPr>
      </w:pPr>
      <w:r>
        <w:rPr>
          <w:rFonts w:hint="eastAsia" w:hAnsi="宋体" w:cs="宋体"/>
          <w:sz w:val="21"/>
          <w:szCs w:val="21"/>
        </w:rPr>
        <w:t>2、发生保险事故，被保险人或投保人应及时报警，以电话形式向 供应商报案并通知 。 供应商应在一天内进行查勘。</w:t>
      </w:r>
    </w:p>
    <w:p>
      <w:pPr>
        <w:snapToGrid w:val="0"/>
        <w:spacing w:line="500" w:lineRule="exact"/>
        <w:ind w:firstLine="420"/>
        <w:rPr>
          <w:rFonts w:hint="eastAsia" w:hAnsi="宋体" w:cs="宋体"/>
          <w:sz w:val="21"/>
          <w:szCs w:val="21"/>
        </w:rPr>
      </w:pPr>
      <w:r>
        <w:rPr>
          <w:rFonts w:hint="eastAsia" w:hAnsi="宋体" w:cs="宋体"/>
          <w:sz w:val="21"/>
          <w:szCs w:val="21"/>
        </w:rPr>
        <w:t>3、在接到被保险人或投保人报案后，以电话或书面的形式通知 供应商。发生</w:t>
      </w:r>
      <w:r>
        <w:rPr>
          <w:rFonts w:hint="eastAsia" w:hAnsi="宋体" w:cs="宋体"/>
          <w:sz w:val="21"/>
          <w:szCs w:val="21"/>
          <w:lang w:eastAsia="zh-CN"/>
        </w:rPr>
        <w:t>重特大</w:t>
      </w:r>
      <w:r>
        <w:rPr>
          <w:rFonts w:hint="eastAsia" w:hAnsi="宋体" w:cs="宋体"/>
          <w:sz w:val="21"/>
          <w:szCs w:val="21"/>
        </w:rPr>
        <w:t>事故, 于第一时间协同 供应商到现场查勘、定损，由 供应商填写现场查勘报告表，提出下一步处理意见，并以书面形式明确告知被保险人或投保人应提交的各种索赔材料。对于预计赔偿金额不高的小赔案对被保险人或投保人采取电话跟踪指导，索赔资料齐全后，进行索赔。</w:t>
      </w:r>
    </w:p>
    <w:p>
      <w:pPr>
        <w:snapToGrid w:val="0"/>
        <w:spacing w:line="500" w:lineRule="exact"/>
        <w:ind w:firstLine="420"/>
        <w:rPr>
          <w:rFonts w:hint="eastAsia" w:hAnsi="宋体" w:cs="宋体"/>
          <w:sz w:val="21"/>
          <w:szCs w:val="21"/>
        </w:rPr>
      </w:pPr>
      <w:r>
        <w:rPr>
          <w:rFonts w:hint="eastAsia" w:hAnsi="宋体" w:cs="宋体"/>
          <w:sz w:val="21"/>
          <w:szCs w:val="21"/>
        </w:rPr>
        <w:t>4、供应商在接到索赔单证后，应出具索赔单证签收单，并且必须在二个工作日内根据索赔清单一次性书面提出索赔单证是否齐全，未提出异议的，视同单证提交齐全，在以后的理赔处理中，保险人不得以索赔单证不齐全为由提出要求延长理赔期限。</w:t>
      </w:r>
    </w:p>
    <w:p>
      <w:pPr>
        <w:snapToGrid w:val="0"/>
        <w:spacing w:line="500" w:lineRule="exact"/>
        <w:ind w:firstLine="420"/>
        <w:rPr>
          <w:rFonts w:hint="eastAsia" w:hAnsi="宋体" w:cs="宋体"/>
          <w:sz w:val="21"/>
          <w:szCs w:val="21"/>
        </w:rPr>
      </w:pPr>
      <w:r>
        <w:rPr>
          <w:rFonts w:hint="eastAsia" w:hAnsi="宋体" w:cs="宋体"/>
          <w:sz w:val="21"/>
          <w:szCs w:val="21"/>
        </w:rPr>
        <w:t>5、为进行施救或减少损失，在 供应商未到现场前或未拍照前现场被破坏的，由此引起的后果不能作为 供应商拒赔的理由。</w:t>
      </w:r>
    </w:p>
    <w:p>
      <w:pPr>
        <w:snapToGrid w:val="0"/>
        <w:spacing w:line="500" w:lineRule="exact"/>
        <w:ind w:firstLine="420"/>
        <w:rPr>
          <w:rFonts w:hint="eastAsia" w:hAnsi="宋体" w:cs="宋体"/>
          <w:sz w:val="21"/>
          <w:szCs w:val="21"/>
        </w:rPr>
      </w:pPr>
      <w:r>
        <w:rPr>
          <w:rFonts w:hint="eastAsia" w:hAnsi="宋体" w:cs="宋体"/>
          <w:sz w:val="21"/>
          <w:szCs w:val="21"/>
        </w:rPr>
        <w:t>6、供应商和被保险人达成赔偿协议后， 供应商应在10个工作日内(赔偿金在5万元（含）以下)或20个工作日内（赔偿金5万元以上）将保险赔款划入被保险人（指定）的银行账户。</w:t>
      </w:r>
    </w:p>
    <w:p>
      <w:pPr>
        <w:snapToGrid w:val="0"/>
        <w:spacing w:line="500" w:lineRule="exact"/>
        <w:ind w:firstLine="420"/>
        <w:rPr>
          <w:rFonts w:hint="eastAsia" w:hAnsi="宋体" w:cs="宋体"/>
          <w:sz w:val="21"/>
          <w:szCs w:val="21"/>
        </w:rPr>
      </w:pPr>
      <w:r>
        <w:rPr>
          <w:rFonts w:hint="eastAsia" w:hAnsi="宋体" w:cs="宋体"/>
          <w:sz w:val="21"/>
          <w:szCs w:val="21"/>
        </w:rPr>
        <w:t>7、其他要求</w:t>
      </w:r>
    </w:p>
    <w:p>
      <w:pPr>
        <w:snapToGrid w:val="0"/>
        <w:spacing w:line="500" w:lineRule="exact"/>
        <w:ind w:firstLine="420"/>
        <w:rPr>
          <w:rFonts w:hint="eastAsia" w:hAnsi="宋体" w:cs="宋体"/>
          <w:sz w:val="21"/>
          <w:szCs w:val="21"/>
        </w:rPr>
      </w:pPr>
      <w:r>
        <w:rPr>
          <w:rFonts w:hint="eastAsia" w:hAnsi="宋体" w:cs="宋体"/>
          <w:sz w:val="21"/>
          <w:szCs w:val="21"/>
        </w:rPr>
        <w:t>（1）保险垫付机制。对于责任明确清晰的， 供应商于案件责任确定后五个工作日内垫付五万以内的医疗费用或财产损失费。</w:t>
      </w:r>
    </w:p>
    <w:p>
      <w:pPr>
        <w:snapToGrid w:val="0"/>
        <w:spacing w:line="500" w:lineRule="exact"/>
        <w:ind w:firstLine="420"/>
        <w:rPr>
          <w:rFonts w:hint="eastAsia" w:hAnsi="宋体" w:cs="宋体"/>
          <w:sz w:val="21"/>
          <w:szCs w:val="21"/>
        </w:rPr>
      </w:pPr>
      <w:r>
        <w:rPr>
          <w:rFonts w:hint="eastAsia" w:hAnsi="宋体" w:cs="宋体"/>
          <w:sz w:val="21"/>
          <w:szCs w:val="21"/>
        </w:rPr>
        <w:t>对于责任模糊不清的， 供应商应在事发后五个工作日内按预估医疗费用或财产损失费的50%先行垫付，待案件了结时，按保险责任的范围计算赔偿金额进行赔偿；需实施追偿的案件则由投注站出具权益转让书，由供应商实行代位追偿。</w:t>
      </w:r>
    </w:p>
    <w:p>
      <w:pPr>
        <w:snapToGrid w:val="0"/>
        <w:spacing w:line="500" w:lineRule="exact"/>
        <w:ind w:firstLine="420"/>
        <w:rPr>
          <w:rFonts w:hint="eastAsia" w:hAnsi="宋体" w:cs="宋体"/>
          <w:sz w:val="21"/>
          <w:szCs w:val="21"/>
        </w:rPr>
      </w:pPr>
      <w:r>
        <w:rPr>
          <w:rFonts w:hint="eastAsia" w:hAnsi="宋体" w:cs="宋体"/>
          <w:sz w:val="21"/>
          <w:szCs w:val="21"/>
        </w:rPr>
        <w:t xml:space="preserve"> 供应商先行赔付后将取得追偿权，实行代位追偿；保险人承诺放弃对投保人、被保险人、招标人及其关联人的责任追偿。</w:t>
      </w:r>
    </w:p>
    <w:p>
      <w:pPr>
        <w:snapToGrid w:val="0"/>
        <w:spacing w:line="500" w:lineRule="exact"/>
        <w:ind w:firstLine="420"/>
        <w:rPr>
          <w:rFonts w:hint="eastAsia" w:hAnsi="宋体" w:cs="宋体"/>
          <w:sz w:val="21"/>
          <w:szCs w:val="21"/>
        </w:rPr>
      </w:pPr>
      <w:r>
        <w:rPr>
          <w:rFonts w:hint="eastAsia" w:hAnsi="宋体" w:cs="宋体"/>
          <w:sz w:val="21"/>
          <w:szCs w:val="21"/>
        </w:rPr>
        <w:t>（2）发生责任事故，被保险人在第一时间向当地公安或相关执法部门以及供应商报案，由公安部门或相关执法部门出具事故责任认定书，对于执法部门不能明确责任要由当事方协商解决的案件，由供应商出具相关解决方案报告并经三方协商处理。</w:t>
      </w:r>
    </w:p>
    <w:p>
      <w:pPr>
        <w:snapToGrid w:val="0"/>
        <w:spacing w:line="500" w:lineRule="exact"/>
        <w:ind w:firstLine="420"/>
        <w:rPr>
          <w:rFonts w:hint="eastAsia" w:hAnsi="宋体" w:cs="宋体"/>
          <w:sz w:val="21"/>
          <w:szCs w:val="21"/>
        </w:rPr>
      </w:pPr>
      <w:r>
        <w:rPr>
          <w:rFonts w:hint="eastAsia" w:hAnsi="宋体" w:cs="宋体"/>
          <w:sz w:val="21"/>
          <w:szCs w:val="21"/>
        </w:rPr>
        <w:t>（3）项目服务与监督。成立项目服务小组对本项目的投保、理赔进行协调，以保障投保人和被保险人的利益。</w:t>
      </w:r>
    </w:p>
    <w:p>
      <w:pPr>
        <w:snapToGrid w:val="0"/>
        <w:spacing w:line="500" w:lineRule="exact"/>
        <w:ind w:firstLine="420"/>
        <w:rPr>
          <w:rFonts w:hint="eastAsia" w:hAnsi="宋体" w:cs="宋体"/>
          <w:b/>
          <w:bCs/>
          <w:sz w:val="21"/>
          <w:szCs w:val="21"/>
        </w:rPr>
      </w:pPr>
      <w:r>
        <w:rPr>
          <w:rFonts w:hint="eastAsia" w:hAnsi="宋体" w:cs="宋体"/>
          <w:b/>
          <w:bCs/>
          <w:sz w:val="21"/>
          <w:szCs w:val="21"/>
        </w:rPr>
        <w:t>二、付款方式</w:t>
      </w:r>
    </w:p>
    <w:p>
      <w:pPr>
        <w:snapToGrid w:val="0"/>
        <w:spacing w:line="500" w:lineRule="exact"/>
        <w:ind w:firstLine="420"/>
        <w:rPr>
          <w:rFonts w:hAnsi="宋体" w:cs="宋体"/>
          <w:sz w:val="21"/>
          <w:szCs w:val="21"/>
        </w:rPr>
      </w:pPr>
      <w:r>
        <w:rPr>
          <w:rFonts w:hint="eastAsia" w:hAnsi="宋体" w:cs="宋体"/>
          <w:sz w:val="21"/>
          <w:szCs w:val="21"/>
        </w:rPr>
        <w:t>投保数量根据采购人提供的实际门店数量，一次性支付保费的100%。</w:t>
      </w:r>
    </w:p>
    <w:p>
      <w:pPr>
        <w:pStyle w:val="6"/>
        <w:spacing w:after="0" w:line="500" w:lineRule="exact"/>
        <w:ind w:left="0" w:leftChars="0" w:firstLine="0" w:firstLineChars="0"/>
      </w:pPr>
    </w:p>
    <w:sectPr>
      <w:headerReference r:id="rId5" w:type="first"/>
      <w:headerReference r:id="rId3" w:type="default"/>
      <w:headerReference r:id="rId4" w:type="even"/>
      <w:footerReference r:id="rId6" w:type="even"/>
      <w:pgSz w:w="11907" w:h="16840"/>
      <w:pgMar w:top="1134" w:right="1027" w:bottom="1134" w:left="1418"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8" o:spid="_x0000_s4098" o:spt="136" type="#_x0000_t136" style="position:absolute;left:0pt;height:47.6pt;width:619.3pt;mso-position-horizontal:center;mso-position-horizontal-relative:margin;mso-position-vertical:center;mso-position-vertical-relative:margin;rotation:-2949120f;z-index:-251656192;mso-width-relative:page;mso-height-relative:page;" fillcolor="#C0C0C0" filled="t" stroked="f" coordsize="21600,21600" o:allowincell="f">
          <v:path/>
          <v:fill on="t" opacity="32768f" focussize="0,0"/>
          <v:stroke on="f"/>
          <v:imagedata o:title=""/>
          <o:lock v:ext="edit"/>
          <v:textpath on="t" fitshape="t" fitpath="t" trim="t" xscale="f" string="金华市天盈财务咨询有限公司" style="font-family:宋体;font-size:8pt;v-rotate-letters:f;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136" type="#_x0000_t136" style="position:absolute;left:0pt;height:47.6pt;width:619.3pt;mso-position-horizontal:center;mso-position-horizontal-relative:margin;mso-position-vertical:center;mso-position-vertical-relative:margin;rotation:-2949120f;z-index:-251657216;mso-width-relative:page;mso-height-relative:page;" fillcolor="#C0C0C0" filled="t" stroked="f" coordsize="21600,21600" o:allowincell="f">
          <v:path/>
          <v:fill on="t" opacity="32768f" focussize="0,0"/>
          <v:stroke on="f"/>
          <v:imagedata o:title=""/>
          <o:lock v:ext="edit"/>
          <v:textpath on="t" fitshape="t" fitpath="t" trim="t" xscale="f" string="金华市天盈财务咨询有限公司" style="font-family:宋体;font-size:8pt;v-rotate-letters:f;v-same-letter-heights:f;v-text-align:center;"/>
        </v:shape>
      </w:pict>
    </w:r>
    <w:r>
      <w:rPr>
        <w:rFonts w:hint="eastAsia"/>
      </w:rPr>
      <w:t>金华市天盈财务咨询有限公司</w:t>
    </w:r>
  </w:p>
  <w:p>
    <w:pPr>
      <w:pStyle w:val="5"/>
    </w:pPr>
    <w:r>
      <w:rPr>
        <w:rFonts w:hint="eastAsia"/>
      </w:rPr>
      <w:t>项目编号：</w:t>
    </w:r>
    <w:r>
      <w:t>TY2015-</w:t>
    </w:r>
    <w:r>
      <w:rPr>
        <w:rFonts w:hint="eastAsia"/>
      </w:rPr>
      <w:t>FW079</w:t>
    </w:r>
    <w:r>
      <w:t>-ZFCG</w:t>
    </w:r>
    <w:r>
      <w:rPr>
        <w:rFonts w:hint="eastAsia"/>
      </w:rPr>
      <w:t xml:space="preserve">079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3526AA"/>
    <w:multiLevelType w:val="singleLevel"/>
    <w:tmpl w:val="C23526A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000000"/>
    <w:rsid w:val="1C704007"/>
    <w:rsid w:val="66E1540A"/>
    <w:rsid w:val="7CC05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textAlignment w:val="baseline"/>
    </w:pPr>
    <w:rPr>
      <w:rFonts w:ascii="宋体" w:hAnsi="Times New Roman" w:eastAsia="宋体" w:cs="Times New Roman"/>
      <w:sz w:val="34"/>
      <w:lang w:val="en-US" w:eastAsia="zh-CN" w:bidi="ar-SA"/>
    </w:rPr>
  </w:style>
  <w:style w:type="paragraph" w:styleId="2">
    <w:name w:val="heading 1"/>
    <w:basedOn w:val="1"/>
    <w:next w:val="1"/>
    <w:qFormat/>
    <w:uiPriority w:val="0"/>
    <w:pPr>
      <w:keepNext/>
      <w:outlineLvl w:val="0"/>
    </w:pPr>
    <w:rPr>
      <w:rFonts w:ascii="Calibri" w:hAnsi="Calibri" w:eastAsia="宋体" w:cs="Times New Roman"/>
      <w:b/>
      <w:color w:val="000000"/>
      <w:sz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next w:val="1"/>
    <w:qFormat/>
    <w:uiPriority w:val="0"/>
    <w:pPr>
      <w:autoSpaceDE/>
      <w:autoSpaceDN/>
      <w:adjustRightInd/>
      <w:ind w:firstLine="900"/>
      <w:jc w:val="both"/>
      <w:textAlignment w:val="auto"/>
    </w:pPr>
    <w:rPr>
      <w:rFonts w:ascii="Times New Roman" w:hAnsi="Calibri" w:eastAsia="宋体" w:cs="Times New Roman"/>
      <w:kern w:val="2"/>
      <w:sz w:val="28"/>
    </w:rPr>
  </w:style>
  <w:style w:type="paragraph" w:styleId="4">
    <w:name w:val="footer"/>
    <w:basedOn w:val="1"/>
    <w:qFormat/>
    <w:uiPriority w:val="0"/>
    <w:pPr>
      <w:tabs>
        <w:tab w:val="center" w:pos="4153"/>
        <w:tab w:val="right" w:pos="8306"/>
      </w:tabs>
      <w:snapToGrid w:val="0"/>
    </w:pPr>
    <w:rPr>
      <w:rFonts w:ascii="Calibri" w:hAnsi="Calibri" w:eastAsia="宋体" w:cs="Times New Roman"/>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rPr>
  </w:style>
  <w:style w:type="paragraph" w:styleId="6">
    <w:name w:val="Body Text First Indent 2"/>
    <w:basedOn w:val="3"/>
    <w:next w:val="7"/>
    <w:qFormat/>
    <w:uiPriority w:val="0"/>
    <w:pPr>
      <w:spacing w:after="120"/>
      <w:ind w:left="420" w:leftChars="200" w:firstLine="420"/>
    </w:pPr>
    <w:rPr>
      <w:rFonts w:ascii="Calibri" w:hAnsi="Calibri" w:eastAsia="宋体" w:cs="宋体"/>
      <w:sz w:val="21"/>
      <w:szCs w:val="21"/>
    </w:rPr>
  </w:style>
  <w:style w:type="paragraph" w:customStyle="1" w:styleId="7">
    <w:name w:val="xl53"/>
    <w:basedOn w:val="1"/>
    <w:next w:val="1"/>
    <w:qFormat/>
    <w:uiPriority w:val="0"/>
    <w:pPr>
      <w:spacing w:before="280" w:after="280" w:line="100" w:lineRule="exact"/>
      <w:jc w:val="center"/>
    </w:pPr>
    <w:rPr>
      <w:rFonts w:ascii="宋体"/>
      <w:b/>
      <w:sz w:val="20"/>
    </w:rPr>
  </w:style>
  <w:style w:type="character" w:styleId="10">
    <w:name w:val="page number"/>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1835</Words>
  <Characters>1889</Characters>
  <Lines>0</Lines>
  <Paragraphs>0</Paragraphs>
  <TotalTime>0</TotalTime>
  <ScaleCrop>false</ScaleCrop>
  <LinksUpToDate>false</LinksUpToDate>
  <CharactersWithSpaces>1904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2021-09-07T06:55:00Z</dcterms:created>
  <dc:creator>Administrator</dc:creator>
  <cp:lastModifiedBy>龚秀娟</cp:lastModifiedBy>
  <dcterms:modified xsi:type="dcterms:W3CDTF">2022-10-21T02:48:44Z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8521FEFCEC004F849AC4CF6909AB97E2</vt:lpwstr>
  </property>
</Properties>
</file>