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pacing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pacing w:val="0"/>
          <w:sz w:val="44"/>
          <w:szCs w:val="44"/>
        </w:rPr>
        <w:t>关于《</w:t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0"/>
          <w:sz w:val="44"/>
          <w:szCs w:val="44"/>
          <w:lang w:eastAsia="zh-CN"/>
        </w:rPr>
        <w:t>义乌市人民政府</w:t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0"/>
          <w:sz w:val="44"/>
          <w:szCs w:val="44"/>
        </w:rPr>
        <w:t>关于调整</w:t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0"/>
          <w:sz w:val="44"/>
          <w:szCs w:val="44"/>
          <w:lang w:eastAsia="zh-CN"/>
        </w:rPr>
        <w:t>佛堂</w:t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0"/>
          <w:sz w:val="44"/>
          <w:szCs w:val="44"/>
        </w:rPr>
        <w:t>镇等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pacing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pacing w:val="0"/>
          <w:sz w:val="44"/>
          <w:szCs w:val="44"/>
        </w:rPr>
        <w:t>1</w:t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0"/>
          <w:sz w:val="44"/>
          <w:szCs w:val="44"/>
          <w:lang w:val="en-US" w:eastAsia="zh-CN"/>
        </w:rPr>
        <w:t>4</w:t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0"/>
          <w:sz w:val="44"/>
          <w:szCs w:val="44"/>
        </w:rPr>
        <w:t>个乡镇（街道）行政处罚事项的通告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pacing w:val="0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pacing w:val="0"/>
          <w:sz w:val="44"/>
          <w:szCs w:val="44"/>
        </w:rPr>
        <w:t>(征求意见稿)》</w:t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0"/>
          <w:sz w:val="44"/>
          <w:szCs w:val="44"/>
          <w:lang w:eastAsia="zh-CN"/>
        </w:rPr>
        <w:t>的起草说明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eastAsia="zh-CN"/>
        </w:rPr>
        <w:t>为深入推进“大综合一体化”行政执法改革工作，我办根据《浙江省综合行政执法条例》应当对赋权事项实施情况定期组织评估的要求，起草了《义乌市人民政府关于调整佛堂镇等14个乡镇（街道）行政处罚事项的通告》（以下简称《通告》）。现将有关情况说明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pacing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pacing w:val="0"/>
          <w:sz w:val="32"/>
          <w:szCs w:val="32"/>
          <w:lang w:eastAsia="zh-CN"/>
        </w:rPr>
        <w:t>一、起草依据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eastAsia="zh-CN"/>
        </w:rPr>
        <w:t>《浙江省综合行政执法条例》第九条：县（市、区）人民政府可以选择基层管理迫切需要且高频多发、易发现易处置、专业要求适宜的行政执法事项。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eastAsia="zh-CN"/>
        </w:rPr>
        <w:t>《浙江省综合行政执法条例》第十条：目录制定机关应当对目录实施情况定期组织评估，并根据执法依据变动、评估结果以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eastAsia="zh-CN"/>
        </w:rPr>
        <w:t xml:space="preserve">工作实际，对目录进行动态调整。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pacing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pacing w:val="0"/>
          <w:sz w:val="32"/>
          <w:szCs w:val="32"/>
          <w:lang w:eastAsia="zh-CN"/>
        </w:rPr>
        <w:t>二、起草过程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snapToGrid w:val="0"/>
          <w:color w:val="auto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snapToGrid w:val="0"/>
          <w:color w:val="auto"/>
          <w:kern w:val="0"/>
          <w:sz w:val="32"/>
          <w:szCs w:val="32"/>
          <w:highlight w:val="none"/>
          <w:lang w:val="en-US" w:eastAsia="zh-CN" w:bidi="ar"/>
        </w:rPr>
        <w:t>按照上级文件要求对我市14个赋权开展事项评估工作，并形成评估报告，最终结合部门、镇街反馈意见修改完善后，形成了《通告（征求意见稿）》。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pacing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pacing w:val="0"/>
          <w:sz w:val="32"/>
          <w:szCs w:val="32"/>
          <w:lang w:eastAsia="zh-CN"/>
        </w:rPr>
        <w:t>三、主要内容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snapToGrid w:val="0"/>
          <w:color w:val="auto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snapToGrid w:val="0"/>
          <w:color w:val="auto"/>
          <w:kern w:val="0"/>
          <w:sz w:val="32"/>
          <w:szCs w:val="32"/>
          <w:highlight w:val="none"/>
          <w:lang w:val="en-US" w:eastAsia="zh-CN" w:bidi="ar"/>
        </w:rPr>
        <w:t>（一）自2023年 月 日起，对义乌市佛堂镇综合行政执法事项进行调整，调整后佛堂镇在本行政区域内以自身名义统一行使公安、广电、建设、教育、林业、民政、农业农村、人防、人力社保、生态环境、市场监管、水利、体育、卫生健康、文化和旅游、文物、消防救援、应急管理、自然资源共19个领域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"/>
        </w:rPr>
        <w:t>907</w:t>
      </w:r>
      <w:r>
        <w:rPr>
          <w:rFonts w:hint="eastAsia" w:ascii="Times New Roman" w:hAnsi="Times New Roman" w:eastAsia="仿宋_GB2312" w:cs="Times New Roman"/>
          <w:snapToGrid w:val="0"/>
          <w:color w:val="auto"/>
          <w:kern w:val="0"/>
          <w:sz w:val="32"/>
          <w:szCs w:val="32"/>
          <w:highlight w:val="none"/>
          <w:lang w:val="en-US" w:eastAsia="zh-CN" w:bidi="ar"/>
        </w:rPr>
        <w:t>项行政处罚权。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snapToGrid w:val="0"/>
          <w:color w:val="auto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snapToGrid w:val="0"/>
          <w:color w:val="auto"/>
          <w:kern w:val="0"/>
          <w:sz w:val="32"/>
          <w:szCs w:val="32"/>
          <w:highlight w:val="none"/>
          <w:lang w:val="en-US" w:eastAsia="zh-CN" w:bidi="ar"/>
        </w:rPr>
        <w:t>（二）自2023年 月 日起，对义乌市苏溪镇综合行政执法事项进行调整，调整后苏溪镇在本行政区域内以自身名义统一行使公安、广电、建设、教育、林业、民政、农业农村、人力社保、生态环境、市场监管、水利、卫生健康、消防救援、应急管理、自然资源共15个领域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"/>
        </w:rPr>
        <w:t>476</w:t>
      </w:r>
      <w:r>
        <w:rPr>
          <w:rFonts w:hint="eastAsia" w:ascii="Times New Roman" w:hAnsi="Times New Roman" w:eastAsia="仿宋_GB2312" w:cs="Times New Roman"/>
          <w:snapToGrid w:val="0"/>
          <w:color w:val="auto"/>
          <w:kern w:val="0"/>
          <w:sz w:val="32"/>
          <w:szCs w:val="32"/>
          <w:highlight w:val="none"/>
          <w:lang w:val="en-US" w:eastAsia="zh-CN" w:bidi="ar"/>
        </w:rPr>
        <w:t>项行政处罚权。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snapToGrid w:val="0"/>
          <w:color w:val="auto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snapToGrid w:val="0"/>
          <w:color w:val="auto"/>
          <w:kern w:val="0"/>
          <w:sz w:val="32"/>
          <w:szCs w:val="32"/>
          <w:highlight w:val="none"/>
          <w:lang w:val="en-US" w:eastAsia="zh-CN" w:bidi="ar"/>
        </w:rPr>
        <w:t>（三）自2023年 月 日起，对义乌市稠城街道综合行政执法事项进行调整，调整后稠城街道在本行政区域内以自身名义统一行使公安、广电、建设、教育、林业、民政、农业农村、生态环境、市场监管、水利、卫生健康、消防救援、应急管理、自然资源共14个领域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"/>
        </w:rPr>
        <w:t>189</w:t>
      </w:r>
      <w:r>
        <w:rPr>
          <w:rFonts w:hint="eastAsia" w:ascii="Times New Roman" w:hAnsi="Times New Roman" w:eastAsia="仿宋_GB2312" w:cs="Times New Roman"/>
          <w:snapToGrid w:val="0"/>
          <w:color w:val="auto"/>
          <w:kern w:val="0"/>
          <w:sz w:val="32"/>
          <w:szCs w:val="32"/>
          <w:highlight w:val="none"/>
          <w:lang w:val="en-US" w:eastAsia="zh-CN" w:bidi="ar"/>
        </w:rPr>
        <w:t>项行政处罚权。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snapToGrid w:val="0"/>
          <w:color w:val="auto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snapToGrid w:val="0"/>
          <w:color w:val="auto"/>
          <w:kern w:val="0"/>
          <w:sz w:val="32"/>
          <w:szCs w:val="32"/>
          <w:highlight w:val="none"/>
          <w:lang w:val="en-US" w:eastAsia="zh-CN" w:bidi="ar"/>
        </w:rPr>
        <w:t>（四）自2023年 月 日起，对义乌市福田街道、江东街道、稠江街道、北苑街道、后宅街道、廿三里、城西街道等7个街道综合行政执法事项进行调整，调整后7个街道在各自行政区域内以自身名义统一行使公安、广电、建设、教育、林业、民政、农业农村、生态环境、市场监管、水利、卫生健康、消防救援、应急管理、自然资源共14个领域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"/>
        </w:rPr>
        <w:t>193</w:t>
      </w:r>
      <w:r>
        <w:rPr>
          <w:rFonts w:hint="eastAsia" w:ascii="Times New Roman" w:hAnsi="Times New Roman" w:eastAsia="仿宋_GB2312" w:cs="Times New Roman"/>
          <w:snapToGrid w:val="0"/>
          <w:color w:val="auto"/>
          <w:kern w:val="0"/>
          <w:sz w:val="32"/>
          <w:szCs w:val="32"/>
          <w:highlight w:val="none"/>
          <w:lang w:val="en-US" w:eastAsia="zh-CN" w:bidi="ar"/>
        </w:rPr>
        <w:t>项行政处罚权。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snapToGrid w:val="0"/>
          <w:color w:val="auto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snapToGrid w:val="0"/>
          <w:color w:val="auto"/>
          <w:kern w:val="0"/>
          <w:sz w:val="32"/>
          <w:szCs w:val="32"/>
          <w:highlight w:val="none"/>
          <w:lang w:val="en-US" w:eastAsia="zh-CN" w:bidi="ar"/>
        </w:rPr>
        <w:t>（五）自2023年 月 日起，对义乌市上溪镇、大陈镇、义亭镇、赤岸镇等4个乡镇综合行政执法事项进行调整，调整后4个乡镇在各自行政区域内以自身名义统一行使公安、广电、建设、教育、林业、民政、农业农村、生态环境、市场监管、水利、卫生健康、消防救援、应急管理、自然资源共14个领域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"/>
        </w:rPr>
        <w:t>15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"/>
        </w:rPr>
        <w:t>0</w:t>
      </w:r>
      <w:r>
        <w:rPr>
          <w:rFonts w:hint="eastAsia" w:ascii="Times New Roman" w:hAnsi="Times New Roman" w:eastAsia="仿宋_GB2312" w:cs="Times New Roman"/>
          <w:snapToGrid w:val="0"/>
          <w:color w:val="auto"/>
          <w:kern w:val="0"/>
          <w:sz w:val="32"/>
          <w:szCs w:val="32"/>
          <w:highlight w:val="none"/>
          <w:lang w:val="en-US" w:eastAsia="zh-CN" w:bidi="ar"/>
        </w:rPr>
        <w:t>项行政处罚权。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snapToGrid w:val="0"/>
          <w:color w:val="auto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snapToGrid w:val="0"/>
          <w:color w:val="auto"/>
          <w:kern w:val="0"/>
          <w:sz w:val="32"/>
          <w:szCs w:val="32"/>
          <w:highlight w:val="none"/>
          <w:lang w:val="en-US" w:eastAsia="zh-CN" w:bidi="ar"/>
        </w:rPr>
        <w:t>（六）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"/>
        </w:rPr>
        <w:t>涉及作出没收较大数额违法所得、没收较大价值非法财物、降低资质等级、吊销许可证件、责令停产停业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  <w:t>、责令关闭、限制从业等重大行政处罚决定的案件，仍由县级行政执法部门依法管辖，乡镇（街道）应及时移送。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snapToGrid w:val="0"/>
          <w:color w:val="auto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snapToGrid w:val="0"/>
          <w:color w:val="auto"/>
          <w:kern w:val="0"/>
          <w:sz w:val="32"/>
          <w:szCs w:val="32"/>
          <w:highlight w:val="none"/>
          <w:lang w:val="en-US" w:eastAsia="zh-CN" w:bidi="ar"/>
        </w:rPr>
        <w:t>（七）涉及上述行政处罚事项因法律、法规、规章立、改、废进行调整的，按照规定进行调整、公布。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snapToGrid w:val="0"/>
          <w:color w:val="auto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snapToGrid w:val="0"/>
          <w:color w:val="auto"/>
          <w:kern w:val="0"/>
          <w:sz w:val="32"/>
          <w:szCs w:val="32"/>
          <w:highlight w:val="none"/>
          <w:lang w:val="en-US" w:eastAsia="zh-CN" w:bidi="ar"/>
        </w:rPr>
        <w:t>（八）各乡镇（街道）应当向社会公开职责范围、执法依据、处罚标准、执法程序等事项，接受社会监督。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snapToGrid w:val="0"/>
          <w:color w:val="auto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snapToGrid w:val="0"/>
          <w:color w:val="auto"/>
          <w:kern w:val="0"/>
          <w:sz w:val="32"/>
          <w:szCs w:val="32"/>
          <w:highlight w:val="none"/>
          <w:lang w:val="en-US" w:eastAsia="zh-CN" w:bidi="ar"/>
        </w:rPr>
        <w:t>（九）本通告自2024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napToGrid w:val="0"/>
          <w:color w:val="auto"/>
          <w:kern w:val="0"/>
          <w:sz w:val="32"/>
          <w:szCs w:val="32"/>
          <w:highlight w:val="none"/>
          <w:lang w:val="en-US" w:eastAsia="zh-CN" w:bidi="ar"/>
        </w:rPr>
        <w:t>年 月 日起施行。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eastAsia="zh-CN"/>
        </w:rPr>
      </w:pPr>
    </w:p>
    <w:sectPr>
      <w:pgSz w:w="11906" w:h="16838"/>
      <w:pgMar w:top="1440" w:right="1474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D92785"/>
    <w:rsid w:val="6BD92785"/>
    <w:rsid w:val="6BFC20AD"/>
    <w:rsid w:val="7ACE452A"/>
    <w:rsid w:val="7E7EC98A"/>
    <w:rsid w:val="7F7C287F"/>
    <w:rsid w:val="8EEA226E"/>
    <w:rsid w:val="CEBF3A10"/>
    <w:rsid w:val="FDFF3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2023-09-06T00:59:00Z</dcterms:created>
  <dc:creator>uos</dc:creator>
  <cp:lastModifiedBy>uos</cp:lastModifiedBy>
  <dcterms:modified xsi:type="dcterms:W3CDTF">2023-12-11T11:13:44Z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