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2E" w:rsidRDefault="001B4D51">
      <w:pPr>
        <w:pStyle w:val="a3"/>
        <w:shd w:val="clear" w:color="auto" w:fill="FFFFFF"/>
        <w:spacing w:before="0" w:beforeAutospacing="0" w:after="0" w:afterAutospacing="0" w:line="600" w:lineRule="exact"/>
        <w:ind w:firstLine="482"/>
        <w:jc w:val="center"/>
        <w:rPr>
          <w:rFonts w:ascii="小标宋" w:eastAsia="小标宋" w:hAnsi="小标宋" w:cs="小标宋"/>
          <w:color w:val="000000" w:themeColor="text1"/>
          <w:sz w:val="44"/>
          <w:szCs w:val="44"/>
        </w:rPr>
      </w:pPr>
      <w:r>
        <w:rPr>
          <w:rFonts w:ascii="小标宋" w:eastAsia="小标宋" w:hAnsi="小标宋" w:cs="小标宋" w:hint="eastAsia"/>
          <w:color w:val="000000" w:themeColor="text1"/>
          <w:sz w:val="44"/>
          <w:szCs w:val="44"/>
        </w:rPr>
        <w:t>国务院办公厅关于下岗失业人员</w:t>
      </w:r>
    </w:p>
    <w:p w:rsidR="00172B2E" w:rsidRDefault="001B4D51">
      <w:pPr>
        <w:pStyle w:val="a3"/>
        <w:shd w:val="clear" w:color="auto" w:fill="FFFFFF"/>
        <w:spacing w:before="0" w:beforeAutospacing="0" w:after="0" w:afterAutospacing="0" w:line="600" w:lineRule="exact"/>
        <w:ind w:firstLine="482"/>
        <w:jc w:val="center"/>
        <w:rPr>
          <w:rFonts w:ascii="小标宋" w:eastAsia="小标宋" w:hAnsi="小标宋" w:cs="小标宋"/>
          <w:color w:val="000000" w:themeColor="text1"/>
          <w:sz w:val="44"/>
          <w:szCs w:val="44"/>
        </w:rPr>
      </w:pPr>
      <w:r>
        <w:rPr>
          <w:rFonts w:ascii="小标宋" w:eastAsia="小标宋" w:hAnsi="小标宋" w:cs="小标宋" w:hint="eastAsia"/>
          <w:color w:val="000000" w:themeColor="text1"/>
          <w:sz w:val="44"/>
          <w:szCs w:val="44"/>
        </w:rPr>
        <w:t>从事个体经营有关收费优惠政策的通知</w:t>
      </w:r>
    </w:p>
    <w:p w:rsidR="00172B2E" w:rsidRDefault="00172B2E">
      <w:pPr>
        <w:pStyle w:val="a3"/>
        <w:shd w:val="clear" w:color="auto" w:fill="FFFFFF"/>
        <w:spacing w:before="0" w:beforeAutospacing="0" w:after="0" w:afterAutospacing="0"/>
        <w:ind w:firstLine="480"/>
        <w:jc w:val="center"/>
        <w:rPr>
          <w:rFonts w:ascii="仿宋" w:eastAsia="仿宋" w:hAnsi="仿宋" w:cs="仿宋"/>
          <w:sz w:val="32"/>
          <w:szCs w:val="32"/>
        </w:rPr>
      </w:pPr>
    </w:p>
    <w:p w:rsidR="00172B2E" w:rsidRDefault="001B4D51">
      <w:pPr>
        <w:pStyle w:val="a3"/>
        <w:shd w:val="clear" w:color="auto" w:fill="FFFFFF"/>
        <w:spacing w:before="0" w:beforeAutospacing="0" w:after="0" w:afterAutospacing="0"/>
        <w:ind w:firstLine="48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国办发〔</w:t>
      </w:r>
      <w:r>
        <w:rPr>
          <w:rFonts w:ascii="仿宋_GB2312" w:eastAsia="仿宋_GB2312" w:hAnsi="仿宋_GB2312" w:cs="仿宋_GB2312" w:hint="eastAsia"/>
          <w:color w:val="000000" w:themeColor="text1"/>
          <w:sz w:val="32"/>
          <w:szCs w:val="32"/>
        </w:rPr>
        <w:t>2002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57</w:t>
      </w:r>
      <w:r>
        <w:rPr>
          <w:rFonts w:ascii="仿宋_GB2312" w:eastAsia="仿宋_GB2312" w:hAnsi="仿宋_GB2312" w:cs="仿宋_GB2312" w:hint="eastAsia"/>
          <w:color w:val="000000" w:themeColor="text1"/>
          <w:sz w:val="32"/>
          <w:szCs w:val="32"/>
        </w:rPr>
        <w:t>号</w:t>
      </w:r>
    </w:p>
    <w:p w:rsidR="00172B2E" w:rsidRDefault="00172B2E">
      <w:pPr>
        <w:pStyle w:val="a3"/>
        <w:shd w:val="clear" w:color="auto" w:fill="FFFFFF"/>
        <w:spacing w:before="0" w:beforeAutospacing="0" w:after="0" w:afterAutospacing="0"/>
        <w:ind w:firstLine="480"/>
        <w:jc w:val="both"/>
        <w:rPr>
          <w:rFonts w:ascii="仿宋" w:eastAsia="仿宋" w:hAnsi="仿宋" w:cs="仿宋"/>
          <w:color w:val="333333"/>
          <w:sz w:val="32"/>
          <w:szCs w:val="32"/>
        </w:rPr>
      </w:pPr>
    </w:p>
    <w:p w:rsidR="00172B2E" w:rsidRDefault="001B4D51">
      <w:pPr>
        <w:pStyle w:val="a3"/>
        <w:widowControl w:val="0"/>
        <w:shd w:val="clear" w:color="auto" w:fill="FFFFFF"/>
        <w:spacing w:before="0" w:beforeAutospacing="0" w:after="0" w:afterAutospacing="0" w:line="54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各省、自治区、直辖市人民政府，国务院各部委、各直属机构：</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根据《中共中央、国</w:t>
      </w:r>
      <w:bookmarkStart w:id="0" w:name="_GoBack"/>
      <w:bookmarkEnd w:id="0"/>
      <w:r>
        <w:rPr>
          <w:rFonts w:ascii="仿宋_GB2312" w:eastAsia="仿宋_GB2312" w:hAnsi="仿宋_GB2312" w:cs="仿宋_GB2312" w:hint="eastAsia"/>
          <w:color w:val="000000" w:themeColor="text1"/>
          <w:sz w:val="32"/>
          <w:szCs w:val="32"/>
        </w:rPr>
        <w:t>务院关于进一步做好下岗失业人员再就业工作的通知》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中发〔</w:t>
      </w:r>
      <w:r>
        <w:rPr>
          <w:rFonts w:ascii="仿宋_GB2312" w:eastAsia="仿宋_GB2312" w:hAnsi="仿宋_GB2312" w:cs="仿宋_GB2312" w:hint="eastAsia"/>
          <w:color w:val="000000" w:themeColor="text1"/>
          <w:sz w:val="32"/>
          <w:szCs w:val="32"/>
        </w:rPr>
        <w:t>2002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的有关规定，为鼓励和促进下岗失业人员从事个体经营，经国务院批准，现就下岗失业人员从事个体经营有关收费优惠政策问题通知如下：</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一、凡下岗失业人员从事个体经营的，除国家限制的行业</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包括建筑业、娱乐业以及广告业、桑拿、按摩、网吧、氧吧等，下同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外，自工商部门批准其经营之日起</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年内可以免交有关登记类、证照类和管理类的各项行政事业性收费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以下简称“收费”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二、从事个体经营的下岗失业人员免交的收费项目具体包括：</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color w:val="000000" w:themeColor="text1"/>
          <w:sz w:val="32"/>
          <w:szCs w:val="32"/>
        </w:rPr>
        <w:t>法律、行政法规规定的收费项目，国务院以及财政部、国家计委批准设立的收费项目。</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工商部门收取的个体工商户注册登记费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包括开业登记、变更登记、补换营业执照及营业执照副本</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、个体工商户管理费、集贸市场管理费、经济合同</w:t>
      </w:r>
      <w:proofErr w:type="gramStart"/>
      <w:r>
        <w:rPr>
          <w:rFonts w:ascii="仿宋_GB2312" w:eastAsia="仿宋_GB2312" w:hAnsi="仿宋_GB2312" w:cs="仿宋_GB2312" w:hint="eastAsia"/>
          <w:color w:val="000000" w:themeColor="text1"/>
          <w:sz w:val="32"/>
          <w:szCs w:val="32"/>
        </w:rPr>
        <w:t>鉴证</w:t>
      </w:r>
      <w:proofErr w:type="gramEnd"/>
      <w:r>
        <w:rPr>
          <w:rFonts w:ascii="仿宋_GB2312" w:eastAsia="仿宋_GB2312" w:hAnsi="仿宋_GB2312" w:cs="仿宋_GB2312" w:hint="eastAsia"/>
          <w:color w:val="000000" w:themeColor="text1"/>
          <w:sz w:val="32"/>
          <w:szCs w:val="32"/>
        </w:rPr>
        <w:t>费、经济合同示范文本工本费。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r>
        <w:rPr>
          <w:rFonts w:ascii="仿宋_GB2312" w:eastAsia="仿宋_GB2312" w:hAnsi="仿宋_GB2312" w:cs="仿宋_GB2312" w:hint="eastAsia"/>
          <w:color w:val="000000" w:themeColor="text1"/>
          <w:sz w:val="32"/>
          <w:szCs w:val="32"/>
        </w:rPr>
        <w:t>税务部门收取的税务登记证工本费。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卫生部门收取的民办医疗机构管理费、卫生监测费、卫生质量检验费、预防性体检费、预防接种劳务费、卫生许可证工本费。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民政部门收取的民办非企业单位登记费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含证书费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劳动保障部门收取的劳动合同</w:t>
      </w:r>
      <w:proofErr w:type="gramStart"/>
      <w:r>
        <w:rPr>
          <w:rFonts w:ascii="仿宋_GB2312" w:eastAsia="仿宋_GB2312" w:hAnsi="仿宋_GB2312" w:cs="仿宋_GB2312" w:hint="eastAsia"/>
          <w:color w:val="000000" w:themeColor="text1"/>
          <w:sz w:val="32"/>
          <w:szCs w:val="32"/>
        </w:rPr>
        <w:t>鉴证</w:t>
      </w:r>
      <w:proofErr w:type="gramEnd"/>
      <w:r>
        <w:rPr>
          <w:rFonts w:ascii="仿宋_GB2312" w:eastAsia="仿宋_GB2312" w:hAnsi="仿宋_GB2312" w:cs="仿宋_GB2312" w:hint="eastAsia"/>
          <w:color w:val="000000" w:themeColor="text1"/>
          <w:sz w:val="32"/>
          <w:szCs w:val="32"/>
        </w:rPr>
        <w:t>费、职业资格证书费。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rPr>
        <w:t>公安部门收取的特种行业许可证工本费。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烟草部门收取的烟草专卖零售许可证费</w:t>
      </w: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含临时</w:t>
      </w:r>
      <w:proofErr w:type="gramEnd"/>
      <w:r>
        <w:rPr>
          <w:rFonts w:ascii="仿宋_GB2312" w:eastAsia="仿宋_GB2312" w:hAnsi="仿宋_GB2312" w:cs="仿宋_GB2312" w:hint="eastAsia"/>
          <w:color w:val="000000" w:themeColor="text1"/>
          <w:sz w:val="32"/>
          <w:szCs w:val="32"/>
        </w:rPr>
        <w:t>的零售许可证费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国务院以及财政部、国家计委批准设立的涉及从事个体经营的下岗失业人员的其他登记类、证照类和管理类收费项目。</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hint="eastAsia"/>
          <w:color w:val="000000" w:themeColor="text1"/>
          <w:sz w:val="32"/>
          <w:szCs w:val="32"/>
        </w:rPr>
        <w:t>各省、自治区、直辖市人民政府及其财政、价格主管部门批准设立的涉及个体经营的登记类、证照类和管理类收费项目。</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三、从事个体经营的下岗失业人员，应当向工商、税务、卫生、民政、劳动保障、公安、烟草等部门的相关收费单位出具劳动保障部门核发的《再就业优惠证》，经收费单位核实无误后免交有关收费。</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四、上述有关收费优惠政策暂定执行至</w:t>
      </w:r>
      <w:r>
        <w:rPr>
          <w:rFonts w:ascii="仿宋_GB2312" w:eastAsia="仿宋_GB2312" w:hAnsi="仿宋_GB2312" w:cs="仿宋_GB2312" w:hint="eastAsia"/>
          <w:color w:val="000000" w:themeColor="text1"/>
          <w:sz w:val="32"/>
          <w:szCs w:val="32"/>
        </w:rPr>
        <w:t>2005</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各省、自治区、直辖市人民政府及其财政、价格主管部门应通过广播、电视、报刊等新闻媒体，在本行政区域范围内公布免征的各项具体收费项目，使下岗失业人员及时了解和掌握有关收费优惠政策。工商、税务、卫生、民政、劳动保障、</w:t>
      </w:r>
      <w:r>
        <w:rPr>
          <w:rFonts w:ascii="仿宋_GB2312" w:eastAsia="仿宋_GB2312" w:hAnsi="仿宋_GB2312" w:cs="仿宋_GB2312" w:hint="eastAsia"/>
          <w:color w:val="000000" w:themeColor="text1"/>
          <w:sz w:val="32"/>
          <w:szCs w:val="32"/>
        </w:rPr>
        <w:lastRenderedPageBreak/>
        <w:t>公安、烟草等部门应当督促本系统内的有关收费单位不折不扣地落实各项收费优惠政策，促进下岗失业人员再就业。</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六、各省、自治区、直辖市人民政府应对各种收费项目进行全面清理，取消不合法、不合理的收费项目。同时，要加强对从事个体经营的下岗失业人员收费优惠政策落实情况的监督检查，凡不按规定落实</w:t>
      </w:r>
      <w:r>
        <w:rPr>
          <w:rFonts w:ascii="仿宋_GB2312" w:eastAsia="仿宋_GB2312" w:hAnsi="仿宋_GB2312" w:cs="仿宋_GB2312" w:hint="eastAsia"/>
          <w:color w:val="000000" w:themeColor="text1"/>
          <w:sz w:val="32"/>
          <w:szCs w:val="32"/>
        </w:rPr>
        <w:t>收费优惠政策的，要予以严肃处理。</w:t>
      </w:r>
    </w:p>
    <w:p w:rsidR="00172B2E" w:rsidRDefault="001B4D51">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从事个体经营的下岗失业人员实行收费优惠政策，是党中央、国务院促进下岗失业人员再就业的重要举措。地方各级政府和有关部门一定要按照江泽民总书记“三个代表”重要思想的要求，认真做好有关工作，确保有关政策的贯彻落实。各省、自治区、直辖市人民政府和国务院有关部门要在</w:t>
      </w:r>
      <w:r>
        <w:rPr>
          <w:rFonts w:ascii="仿宋_GB2312" w:eastAsia="仿宋_GB2312" w:hAnsi="仿宋_GB2312" w:cs="仿宋_GB2312" w:hint="eastAsia"/>
          <w:color w:val="000000" w:themeColor="text1"/>
          <w:sz w:val="32"/>
          <w:szCs w:val="32"/>
        </w:rPr>
        <w:t>2002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日前将落实本通知的有关情况告财政部、国家计委。</w:t>
      </w:r>
    </w:p>
    <w:p w:rsidR="00172B2E" w:rsidRDefault="00172B2E">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540" w:lineRule="exact"/>
        <w:ind w:firstLineChars="1200" w:firstLine="3840"/>
        <w:jc w:val="both"/>
        <w:rPr>
          <w:rFonts w:ascii="仿宋_GB2312" w:eastAsia="仿宋_GB2312" w:hAnsi="仿宋_GB2312" w:cs="仿宋_GB2312"/>
          <w:color w:val="000000" w:themeColor="text1"/>
          <w:sz w:val="32"/>
          <w:szCs w:val="32"/>
        </w:rPr>
      </w:pPr>
    </w:p>
    <w:p w:rsidR="00172B2E" w:rsidRDefault="001B4D51">
      <w:pPr>
        <w:pStyle w:val="a3"/>
        <w:widowControl w:val="0"/>
        <w:shd w:val="clear" w:color="auto" w:fill="FFFFFF"/>
        <w:spacing w:before="0" w:beforeAutospacing="0" w:after="0" w:afterAutospacing="0" w:line="540" w:lineRule="exact"/>
        <w:ind w:firstLineChars="1600" w:firstLine="51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国务院办公厅</w:t>
      </w:r>
      <w:proofErr w:type="gramStart"/>
      <w:r>
        <w:rPr>
          <w:rFonts w:ascii="仿宋_GB2312" w:eastAsia="仿宋_GB2312" w:hAnsi="仿宋_GB2312" w:cs="仿宋_GB2312" w:hint="eastAsia"/>
          <w:color w:val="000000" w:themeColor="text1"/>
          <w:sz w:val="32"/>
          <w:szCs w:val="32"/>
        </w:rPr>
        <w:t xml:space="preserve">　　　　　　　　　</w:t>
      </w:r>
      <w:proofErr w:type="gramEnd"/>
    </w:p>
    <w:p w:rsidR="00172B2E" w:rsidRDefault="001B4D51">
      <w:pPr>
        <w:pStyle w:val="a3"/>
        <w:widowControl w:val="0"/>
        <w:shd w:val="clear" w:color="auto" w:fill="FFFFFF"/>
        <w:spacing w:before="0" w:beforeAutospacing="0" w:after="0" w:afterAutospacing="0" w:line="540" w:lineRule="exact"/>
        <w:ind w:firstLineChars="1400" w:firstLine="448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二○○二年十月十七日　</w:t>
      </w: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ind w:firstLineChars="200" w:firstLine="640"/>
        <w:jc w:val="both"/>
        <w:rPr>
          <w:rFonts w:ascii="仿宋_GB2312" w:eastAsia="仿宋_GB2312" w:hAnsi="仿宋_GB2312" w:cs="仿宋_GB2312"/>
          <w:color w:val="000000" w:themeColor="text1"/>
          <w:sz w:val="32"/>
          <w:szCs w:val="32"/>
        </w:rPr>
      </w:pPr>
    </w:p>
    <w:p w:rsidR="00172B2E" w:rsidRDefault="00172B2E">
      <w:pPr>
        <w:pStyle w:val="a3"/>
        <w:widowControl w:val="0"/>
        <w:shd w:val="clear" w:color="auto" w:fill="FFFFFF"/>
        <w:spacing w:before="0" w:beforeAutospacing="0" w:after="0" w:afterAutospacing="0" w:line="80" w:lineRule="exact"/>
        <w:jc w:val="both"/>
        <w:rPr>
          <w:rFonts w:ascii="仿宋_GB2312" w:eastAsia="仿宋_GB2312" w:hAnsi="仿宋_GB2312" w:cs="仿宋_GB2312"/>
          <w:color w:val="000000" w:themeColor="text1"/>
          <w:sz w:val="32"/>
          <w:szCs w:val="32"/>
        </w:rPr>
      </w:pPr>
    </w:p>
    <w:p w:rsidR="00172B2E" w:rsidRDefault="001B4D51">
      <w:hyperlink r:id="rId6" w:history="1">
        <w:r>
          <w:rPr>
            <w:rStyle w:val="a4"/>
          </w:rPr>
          <w:t>http://www.gov.cn/gongbao/content/2002/content_61814.htm</w:t>
        </w:r>
      </w:hyperlink>
    </w:p>
    <w:p w:rsidR="00172B2E" w:rsidRDefault="001B4D51">
      <w:r>
        <w:rPr>
          <w:noProof/>
        </w:rP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sectPr w:rsidR="00172B2E">
      <w:pgSz w:w="11906" w:h="16838"/>
      <w:pgMar w:top="2098" w:right="1587" w:bottom="2098"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02"/>
    <w:rsid w:val="001316F7"/>
    <w:rsid w:val="00172B2E"/>
    <w:rsid w:val="001B4D51"/>
    <w:rsid w:val="00594C44"/>
    <w:rsid w:val="00A03943"/>
    <w:rsid w:val="00C51302"/>
    <w:rsid w:val="1EAB5224"/>
    <w:rsid w:val="43FC0CC7"/>
    <w:rsid w:val="6A0F6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cn/gongbao/content/2002/content_6181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207</Characters>
  <Application>Microsoft Office Word</Application>
  <DocSecurity>4</DocSecurity>
  <Lines>13</Lines>
  <Paragraphs>49</Paragraphs>
  <ScaleCrop>false</ScaleCrop>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lenovo</cp:lastModifiedBy>
  <cp:revision>2</cp:revision>
  <dcterms:created xsi:type="dcterms:W3CDTF">2021-11-15T02:45:00Z</dcterms:created>
  <dcterms:modified xsi:type="dcterms:W3CDTF">2021-11-15T02:45:00Z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