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农业标准地亩均投入和产出指标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565"/>
        <w:gridCol w:w="2466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  <w:t>一类标准地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  <w:t>二类标准地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sz w:val="28"/>
                <w:szCs w:val="28"/>
              </w:rPr>
              <w:t>三类标准地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粮食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亩均投入不低于2000元。亩均产出早稻和连作晚稻产量450公斤以上，单季晚稻产量600公斤以上，旱粮产值5000元以上。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亩均投入不低于2000元。亩均产出不低于粮食生产功能区亩产标准的90%。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亩均投入不低于2000元。亩均产出不低于粮食生产功能区亩产标准的85%。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蔬菜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投入不低于3万元。亩均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投入不低于3万元。亩均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水果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投入不低于3万元。亩均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投入不低于3万元。亩均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中药材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投入不低于1万元。亩均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投入不低于1.5万元。亩均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糖（果）蔗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投入不低于7500元。亩均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产出6500公斤以上。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8000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产出6000公斤以上。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茶叶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投入不低于6500元。亩均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产出1万元以上。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花卉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投入不低于7万元。亩均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产出7万元以上。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投入不低于7万元。亩均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产出7万元以上。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苗木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  <w:t>─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投入不低于2万元。亩均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</w:rPr>
              <w:t>产出2.5万元以上。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6497953"/>
    <w:rsid w:val="264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tabs>
        <w:tab w:val="left" w:pos="3380"/>
      </w:tabs>
      <w:spacing w:after="0"/>
      <w:ind w:firstLine="420" w:firstLineChars="100"/>
      <w:jc w:val="center"/>
    </w:pPr>
    <w:rPr>
      <w:b/>
      <w:bCs/>
      <w:spacing w:val="-20"/>
      <w:sz w:val="36"/>
    </w:rPr>
  </w:style>
  <w:style w:type="paragraph" w:styleId="3">
    <w:name w:val="Body Text"/>
    <w:basedOn w:val="1"/>
    <w:next w:val="4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2023-09-28T06:25:00Z</dcterms:created>
  <dc:creator>龚秀娟</dc:creator>
  <cp:lastModifiedBy>龚秀娟</cp:lastModifiedBy>
  <dcterms:modified xsi:type="dcterms:W3CDTF">2023-09-28T06:26:43Z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CAA7427EA89C481696FE9479464857CD_11</vt:lpwstr>
  </property>
</Properties>
</file>