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color w:val="000000"/>
          <w:spacing w:val="20"/>
          <w:sz w:val="44"/>
          <w:szCs w:val="44"/>
          <w:lang w:val="en-US" w:eastAsia="zh-CN"/>
        </w:rPr>
      </w:pPr>
      <w:r>
        <w:rPr>
          <w:rFonts w:eastAsia="方正小标宋简体"/>
          <w:color w:val="000000"/>
          <w:spacing w:val="20"/>
          <w:sz w:val="44"/>
          <w:szCs w:val="44"/>
          <w:lang w:val="en-US" w:eastAsia="zh-CN"/>
        </w:rPr>
        <w:t>银行业机构年度考核评分表</w:t>
      </w:r>
    </w:p>
    <w:p>
      <w:pPr>
        <w:spacing w:line="400" w:lineRule="exact"/>
        <w:jc w:val="center"/>
        <w:rPr>
          <w:rFonts w:eastAsia="方正小标宋简体"/>
          <w:color w:val="000000"/>
          <w:spacing w:val="20"/>
          <w:sz w:val="44"/>
          <w:szCs w:val="44"/>
          <w:lang w:val="en-US" w:eastAsia="zh-CN"/>
        </w:rPr>
      </w:pPr>
    </w:p>
    <w:tbl>
      <w:tblPr>
        <w:tblStyle w:val="2"/>
        <w:tblW w:w="14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79"/>
        <w:gridCol w:w="1605"/>
        <w:gridCol w:w="2325"/>
        <w:gridCol w:w="10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00" w:hRule="atLeast"/>
          <w:tblHeader/>
          <w:jc w:val="center"/>
        </w:trPr>
        <w:tc>
          <w:tcPr>
            <w:tcW w:w="779" w:type="dxa"/>
            <w:shd w:val="clear" w:color="auto" w:fill="auto"/>
            <w:noWrap w:val="0"/>
            <w:vAlign w:val="center"/>
          </w:tcPr>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序号</w:t>
            </w:r>
          </w:p>
        </w:tc>
        <w:tc>
          <w:tcPr>
            <w:tcW w:w="1605" w:type="dxa"/>
            <w:shd w:val="clear" w:color="auto" w:fill="auto"/>
            <w:noWrap w:val="0"/>
            <w:vAlign w:val="center"/>
          </w:tcPr>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考核项目</w:t>
            </w:r>
          </w:p>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（分值）</w:t>
            </w:r>
          </w:p>
        </w:tc>
        <w:tc>
          <w:tcPr>
            <w:tcW w:w="2325" w:type="dxa"/>
            <w:shd w:val="clear" w:color="auto" w:fill="auto"/>
            <w:noWrap w:val="0"/>
            <w:vAlign w:val="center"/>
          </w:tcPr>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考核指标</w:t>
            </w:r>
          </w:p>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（分值）</w:t>
            </w:r>
          </w:p>
        </w:tc>
        <w:tc>
          <w:tcPr>
            <w:tcW w:w="10116" w:type="dxa"/>
            <w:shd w:val="clear" w:color="auto" w:fill="auto"/>
            <w:noWrap w:val="0"/>
            <w:vAlign w:val="center"/>
          </w:tcPr>
          <w:p>
            <w:pPr>
              <w:widowControl/>
              <w:spacing w:line="360" w:lineRule="exact"/>
              <w:jc w:val="center"/>
              <w:rPr>
                <w:rFonts w:eastAsia="黑体"/>
                <w:color w:val="000000"/>
                <w:sz w:val="28"/>
                <w:szCs w:val="28"/>
                <w:lang w:val="en-US" w:eastAsia="zh-CN"/>
              </w:rPr>
            </w:pPr>
            <w:r>
              <w:rPr>
                <w:rFonts w:eastAsia="黑体"/>
                <w:color w:val="000000"/>
                <w:sz w:val="28"/>
                <w:szCs w:val="28"/>
                <w:lang w:val="en-US" w:eastAsia="zh-CN"/>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84" w:hRule="atLeast"/>
          <w:jc w:val="center"/>
        </w:trPr>
        <w:tc>
          <w:tcPr>
            <w:tcW w:w="779"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bookmarkStart w:id="0" w:name="OLE_LINK1" w:colFirst="1" w:colLast="1"/>
            <w:r>
              <w:rPr>
                <w:rFonts w:eastAsia="仿宋_GB2312"/>
                <w:color w:val="000000"/>
                <w:sz w:val="24"/>
                <w:lang w:val="en-US" w:eastAsia="zh-CN"/>
              </w:rPr>
              <w:t>1</w:t>
            </w:r>
          </w:p>
        </w:tc>
        <w:tc>
          <w:tcPr>
            <w:tcW w:w="1605"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税收贡献</w:t>
            </w:r>
          </w:p>
          <w:p>
            <w:pPr>
              <w:widowControl/>
              <w:spacing w:line="320" w:lineRule="exact"/>
              <w:jc w:val="center"/>
              <w:rPr>
                <w:rFonts w:eastAsia="仿宋_GB2312"/>
                <w:color w:val="000000"/>
                <w:sz w:val="24"/>
                <w:lang w:val="en-US" w:eastAsia="zh-CN"/>
              </w:rPr>
            </w:pPr>
            <w:r>
              <w:rPr>
                <w:rFonts w:eastAsia="仿宋_GB2312"/>
                <w:color w:val="000000"/>
                <w:sz w:val="24"/>
                <w:lang w:val="en-US" w:eastAsia="zh-CN"/>
              </w:rPr>
              <w:t>（50分）</w:t>
            </w:r>
          </w:p>
        </w:tc>
        <w:tc>
          <w:tcPr>
            <w:tcW w:w="232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szCs w:val="28"/>
                <w:lang w:val="en-US" w:eastAsia="zh-CN"/>
              </w:rPr>
              <w:t>年度纳税额（40分）</w:t>
            </w:r>
          </w:p>
        </w:tc>
        <w:tc>
          <w:tcPr>
            <w:tcW w:w="10116" w:type="dxa"/>
            <w:shd w:val="clear" w:color="auto" w:fill="auto"/>
            <w:noWrap w:val="0"/>
            <w:vAlign w:val="center"/>
          </w:tcPr>
          <w:p>
            <w:pPr>
              <w:widowControl/>
              <w:spacing w:line="320" w:lineRule="exact"/>
              <w:jc w:val="both"/>
              <w:rPr>
                <w:rFonts w:eastAsia="仿宋_GB2312"/>
                <w:color w:val="000000"/>
                <w:sz w:val="24"/>
                <w:szCs w:val="28"/>
                <w:lang w:val="en-US" w:eastAsia="zh-CN"/>
              </w:rPr>
            </w:pPr>
            <w:r>
              <w:rPr>
                <w:rFonts w:eastAsia="仿宋_GB2312"/>
                <w:color w:val="000000"/>
                <w:sz w:val="24"/>
                <w:szCs w:val="28"/>
                <w:lang w:val="en-US" w:eastAsia="zh-CN"/>
              </w:rPr>
              <w:t>以各银行全年纳税平均数为基数，基本分20分。高于基数的，纳税额每增加800万元加0.3分，最多加20分；低于基数的，年度纳税额得分</w:t>
            </w:r>
            <w:r>
              <w:rPr>
                <w:rFonts w:hint="eastAsia" w:ascii="仿宋_GB2312" w:hAnsi="仿宋_GB2312" w:eastAsia="仿宋_GB2312" w:cs="仿宋_GB2312"/>
                <w:sz w:val="24"/>
                <w:szCs w:val="28"/>
                <w:lang w:val="en-US" w:eastAsia="zh-CN"/>
              </w:rPr>
              <w:t>=</w:t>
            </w:r>
            <w:r>
              <w:rPr>
                <w:rFonts w:eastAsia="仿宋_GB2312"/>
                <w:color w:val="000000"/>
                <w:sz w:val="24"/>
                <w:szCs w:val="28"/>
                <w:lang w:val="en-US" w:eastAsia="zh-CN"/>
              </w:rPr>
              <w:t>纳税额</w:t>
            </w:r>
            <w:r>
              <w:rPr>
                <w:rFonts w:hint="eastAsia" w:ascii="仿宋_GB2312" w:hAnsi="仿宋_GB2312" w:eastAsia="仿宋_GB2312" w:cs="仿宋_GB2312"/>
                <w:sz w:val="24"/>
                <w:szCs w:val="28"/>
                <w:lang w:val="en-US" w:eastAsia="zh-CN"/>
              </w:rPr>
              <w:t>/</w:t>
            </w:r>
            <w:r>
              <w:rPr>
                <w:rFonts w:eastAsia="仿宋_GB2312"/>
                <w:color w:val="000000"/>
                <w:sz w:val="24"/>
                <w:szCs w:val="28"/>
                <w:lang w:val="en-US" w:eastAsia="zh-CN"/>
              </w:rPr>
              <w:t>基数</w:t>
            </w:r>
            <w:r>
              <w:rPr>
                <w:rFonts w:hint="eastAsia" w:ascii="仿宋_GB2312" w:hAnsi="仿宋_GB2312" w:eastAsia="仿宋_GB2312" w:cs="仿宋_GB2312"/>
                <w:color w:val="000000"/>
                <w:sz w:val="24"/>
                <w:lang w:val="zh-TW" w:eastAsia="zh-CN" w:bidi="zh-TW"/>
              </w:rPr>
              <w:t>×</w:t>
            </w:r>
            <w:r>
              <w:rPr>
                <w:rFonts w:eastAsia="仿宋_GB2312"/>
                <w:color w:val="000000"/>
                <w:sz w:val="24"/>
                <w:szCs w:val="28"/>
                <w:lang w:val="en-US" w:eastAsia="zh-CN"/>
              </w:rPr>
              <w:t>20。其中纳税额为各银行当年度在义乌缴纳入库的税款（不包括稽查查补和各类罚没收入）。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15" w:hRule="atLeast"/>
          <w:jc w:val="center"/>
        </w:trPr>
        <w:tc>
          <w:tcPr>
            <w:tcW w:w="779" w:type="dxa"/>
            <w:vMerge w:val="continue"/>
            <w:shd w:val="clear" w:color="auto" w:fill="auto"/>
            <w:noWrap w:val="0"/>
            <w:vAlign w:val="center"/>
          </w:tcPr>
          <w:p>
            <w:pPr>
              <w:widowControl/>
              <w:spacing w:line="320" w:lineRule="exact"/>
              <w:jc w:val="both"/>
              <w:rPr>
                <w:lang w:val="en-US" w:eastAsia="zh-CN"/>
              </w:rPr>
            </w:pPr>
          </w:p>
        </w:tc>
        <w:tc>
          <w:tcPr>
            <w:tcW w:w="1605" w:type="dxa"/>
            <w:vMerge w:val="continue"/>
            <w:shd w:val="clear" w:color="auto" w:fill="auto"/>
            <w:noWrap w:val="0"/>
            <w:vAlign w:val="center"/>
          </w:tcPr>
          <w:p>
            <w:pPr>
              <w:widowControl/>
              <w:spacing w:line="320" w:lineRule="exact"/>
              <w:jc w:val="both"/>
              <w:rPr>
                <w:lang w:val="en-US" w:eastAsia="zh-CN"/>
              </w:rPr>
            </w:pPr>
          </w:p>
        </w:tc>
        <w:tc>
          <w:tcPr>
            <w:tcW w:w="2325" w:type="dxa"/>
            <w:shd w:val="clear" w:color="auto" w:fill="auto"/>
            <w:noWrap w:val="0"/>
            <w:vAlign w:val="center"/>
          </w:tcPr>
          <w:p>
            <w:pPr>
              <w:widowControl/>
              <w:spacing w:line="320" w:lineRule="exact"/>
              <w:jc w:val="center"/>
              <w:rPr>
                <w:lang w:val="en-US" w:eastAsia="zh-CN"/>
              </w:rPr>
            </w:pPr>
            <w:r>
              <w:rPr>
                <w:rFonts w:eastAsia="仿宋_GB2312"/>
                <w:color w:val="000000"/>
                <w:sz w:val="24"/>
                <w:szCs w:val="28"/>
                <w:lang w:val="en-US" w:eastAsia="zh-CN"/>
              </w:rPr>
              <w:t>纳税增长率（10分）</w:t>
            </w:r>
          </w:p>
        </w:tc>
        <w:tc>
          <w:tcPr>
            <w:tcW w:w="10116" w:type="dxa"/>
            <w:shd w:val="clear" w:color="auto" w:fill="auto"/>
            <w:noWrap w:val="0"/>
            <w:vAlign w:val="center"/>
          </w:tcPr>
          <w:p>
            <w:pPr>
              <w:widowControl/>
              <w:spacing w:line="320" w:lineRule="exact"/>
              <w:jc w:val="both"/>
              <w:rPr>
                <w:rFonts w:eastAsia="仿宋_GB2312"/>
                <w:color w:val="000000"/>
                <w:sz w:val="24"/>
                <w:szCs w:val="28"/>
                <w:lang w:val="en-US" w:eastAsia="zh-CN"/>
              </w:rPr>
            </w:pPr>
            <w:r>
              <w:rPr>
                <w:rFonts w:eastAsia="仿宋_GB2312"/>
                <w:color w:val="000000"/>
                <w:sz w:val="24"/>
                <w:szCs w:val="28"/>
                <w:lang w:val="en-US" w:eastAsia="zh-CN"/>
              </w:rPr>
              <w:t>各银行纳税同比实现增长的，按增长</w:t>
            </w:r>
            <w:r>
              <w:rPr>
                <w:rFonts w:hint="eastAsia" w:ascii="仿宋_GB2312" w:hAnsi="仿宋_GB2312" w:eastAsia="仿宋_GB2312" w:cs="仿宋_GB2312"/>
                <w:color w:val="000000"/>
                <w:sz w:val="24"/>
                <w:szCs w:val="28"/>
                <w:lang w:val="en-US" w:eastAsia="zh-CN"/>
              </w:rPr>
              <w:t>率</w:t>
            </w:r>
            <w:r>
              <w:rPr>
                <w:rFonts w:hint="eastAsia" w:ascii="仿宋_GB2312" w:hAnsi="仿宋_GB2312" w:eastAsia="仿宋_GB2312" w:cs="仿宋_GB2312"/>
                <w:color w:val="000000"/>
                <w:sz w:val="24"/>
                <w:lang w:val="zh-TW" w:eastAsia="zh-CN" w:bidi="zh-TW"/>
              </w:rPr>
              <w:t>×</w:t>
            </w:r>
            <w:r>
              <w:rPr>
                <w:rFonts w:eastAsia="仿宋_GB2312"/>
                <w:color w:val="000000"/>
                <w:sz w:val="24"/>
                <w:szCs w:val="28"/>
                <w:lang w:val="en-US" w:eastAsia="zh-CN"/>
              </w:rPr>
              <w:t>10进行加分，最高加10分，负增长不得分。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2" w:hRule="atLeast"/>
          <w:jc w:val="center"/>
        </w:trPr>
        <w:tc>
          <w:tcPr>
            <w:tcW w:w="779"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2</w:t>
            </w:r>
          </w:p>
        </w:tc>
        <w:tc>
          <w:tcPr>
            <w:tcW w:w="1605"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存贷款增长</w:t>
            </w:r>
          </w:p>
          <w:p>
            <w:pPr>
              <w:widowControl/>
              <w:spacing w:line="320" w:lineRule="exact"/>
              <w:jc w:val="center"/>
              <w:rPr>
                <w:rFonts w:eastAsia="仿宋_GB2312"/>
                <w:color w:val="000000"/>
                <w:sz w:val="24"/>
                <w:lang w:val="en-US" w:eastAsia="zh-CN"/>
              </w:rPr>
            </w:pPr>
            <w:r>
              <w:rPr>
                <w:rFonts w:eastAsia="仿宋_GB2312"/>
                <w:color w:val="000000"/>
                <w:sz w:val="24"/>
                <w:lang w:val="en-US" w:eastAsia="zh-CN"/>
              </w:rPr>
              <w:t>（40分）</w:t>
            </w:r>
          </w:p>
        </w:tc>
        <w:tc>
          <w:tcPr>
            <w:tcW w:w="232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szCs w:val="28"/>
                <w:lang w:val="en-US" w:eastAsia="zh-CN"/>
              </w:rPr>
              <w:t>存贷款增量（20分）</w:t>
            </w:r>
          </w:p>
        </w:tc>
        <w:tc>
          <w:tcPr>
            <w:tcW w:w="10116" w:type="dxa"/>
            <w:shd w:val="clear" w:color="auto" w:fill="auto"/>
            <w:noWrap w:val="0"/>
            <w:vAlign w:val="center"/>
          </w:tcPr>
          <w:p>
            <w:pPr>
              <w:widowControl/>
              <w:spacing w:line="320" w:lineRule="exact"/>
              <w:jc w:val="both"/>
              <w:rPr>
                <w:rFonts w:eastAsia="仿宋_GB2312"/>
                <w:color w:val="000000"/>
                <w:sz w:val="24"/>
                <w:szCs w:val="28"/>
                <w:lang w:val="en-US" w:eastAsia="zh-CN"/>
              </w:rPr>
            </w:pPr>
            <w:r>
              <w:rPr>
                <w:rFonts w:eastAsia="仿宋_GB2312"/>
                <w:color w:val="000000"/>
                <w:sz w:val="24"/>
                <w:szCs w:val="28"/>
                <w:lang w:val="en-US" w:eastAsia="zh-CN"/>
              </w:rPr>
              <w:t>存贷款增量最多的银行机构得20分，其余按比例赋分，负增长不得分。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9" w:hRule="atLeast"/>
          <w:jc w:val="center"/>
        </w:trPr>
        <w:tc>
          <w:tcPr>
            <w:tcW w:w="779" w:type="dxa"/>
            <w:vMerge w:val="continue"/>
            <w:shd w:val="clear" w:color="auto" w:fill="auto"/>
            <w:noWrap w:val="0"/>
            <w:vAlign w:val="center"/>
          </w:tcPr>
          <w:p>
            <w:pPr>
              <w:widowControl/>
              <w:spacing w:line="320" w:lineRule="exact"/>
              <w:jc w:val="both"/>
              <w:rPr>
                <w:lang w:val="en-US" w:eastAsia="zh-CN"/>
              </w:rPr>
            </w:pPr>
          </w:p>
        </w:tc>
        <w:tc>
          <w:tcPr>
            <w:tcW w:w="1605" w:type="dxa"/>
            <w:vMerge w:val="continue"/>
            <w:shd w:val="clear" w:color="auto" w:fill="auto"/>
            <w:noWrap w:val="0"/>
            <w:vAlign w:val="center"/>
          </w:tcPr>
          <w:p>
            <w:pPr>
              <w:widowControl/>
              <w:spacing w:line="320" w:lineRule="exact"/>
              <w:jc w:val="both"/>
              <w:rPr>
                <w:lang w:val="en-US" w:eastAsia="zh-CN"/>
              </w:rPr>
            </w:pPr>
          </w:p>
        </w:tc>
        <w:tc>
          <w:tcPr>
            <w:tcW w:w="2325" w:type="dxa"/>
            <w:shd w:val="clear" w:color="auto" w:fill="auto"/>
            <w:noWrap w:val="0"/>
            <w:vAlign w:val="center"/>
          </w:tcPr>
          <w:p>
            <w:pPr>
              <w:widowControl/>
              <w:spacing w:line="320" w:lineRule="exact"/>
              <w:jc w:val="center"/>
              <w:rPr>
                <w:lang w:val="en-US" w:eastAsia="zh-CN"/>
              </w:rPr>
            </w:pPr>
            <w:r>
              <w:rPr>
                <w:rFonts w:eastAsia="仿宋_GB2312"/>
                <w:color w:val="000000"/>
                <w:sz w:val="24"/>
                <w:szCs w:val="28"/>
                <w:lang w:val="en-US" w:eastAsia="zh-CN"/>
              </w:rPr>
              <w:t>存贷款增速（10分）</w:t>
            </w:r>
          </w:p>
        </w:tc>
        <w:tc>
          <w:tcPr>
            <w:tcW w:w="10116" w:type="dxa"/>
            <w:shd w:val="clear" w:color="auto" w:fill="auto"/>
            <w:noWrap w:val="0"/>
            <w:vAlign w:val="center"/>
          </w:tcPr>
          <w:p>
            <w:pPr>
              <w:widowControl/>
              <w:spacing w:line="320" w:lineRule="exact"/>
              <w:jc w:val="both"/>
              <w:rPr>
                <w:rFonts w:eastAsia="仿宋_GB2312"/>
                <w:sz w:val="24"/>
                <w:szCs w:val="28"/>
                <w:lang w:val="en-US" w:eastAsia="zh-CN"/>
              </w:rPr>
            </w:pPr>
            <w:r>
              <w:rPr>
                <w:rFonts w:eastAsia="仿宋_GB2312"/>
                <w:sz w:val="24"/>
                <w:szCs w:val="28"/>
                <w:lang w:val="en-US" w:eastAsia="zh-CN"/>
              </w:rPr>
              <w:t>存贷款增速达到全市存贷款平均增速的得基本分5分，未达到的按比例折算，每超过0.5个百分点加0.2分，最高加5分，负增长不得分。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7" w:hRule="atLeast"/>
          <w:jc w:val="center"/>
        </w:trPr>
        <w:tc>
          <w:tcPr>
            <w:tcW w:w="779" w:type="dxa"/>
            <w:vMerge w:val="continue"/>
            <w:shd w:val="clear" w:color="auto" w:fill="auto"/>
            <w:noWrap w:val="0"/>
            <w:vAlign w:val="center"/>
          </w:tcPr>
          <w:p>
            <w:pPr>
              <w:widowControl/>
              <w:spacing w:line="320" w:lineRule="exact"/>
              <w:jc w:val="both"/>
              <w:rPr>
                <w:rFonts w:eastAsia="仿宋_GB2312"/>
                <w:color w:val="000000"/>
                <w:sz w:val="24"/>
                <w:szCs w:val="28"/>
                <w:lang w:val="en-US" w:eastAsia="zh-CN"/>
              </w:rPr>
            </w:pPr>
          </w:p>
        </w:tc>
        <w:tc>
          <w:tcPr>
            <w:tcW w:w="1605" w:type="dxa"/>
            <w:vMerge w:val="continue"/>
            <w:shd w:val="clear" w:color="auto" w:fill="auto"/>
            <w:noWrap w:val="0"/>
            <w:vAlign w:val="center"/>
          </w:tcPr>
          <w:p>
            <w:pPr>
              <w:widowControl/>
              <w:spacing w:line="320" w:lineRule="exact"/>
              <w:jc w:val="both"/>
              <w:rPr>
                <w:rFonts w:eastAsia="仿宋_GB2312"/>
                <w:color w:val="000000"/>
                <w:sz w:val="24"/>
                <w:szCs w:val="28"/>
                <w:lang w:val="en-US" w:eastAsia="zh-CN"/>
              </w:rPr>
            </w:pPr>
          </w:p>
        </w:tc>
        <w:tc>
          <w:tcPr>
            <w:tcW w:w="2325" w:type="dxa"/>
            <w:shd w:val="clear" w:color="auto" w:fill="auto"/>
            <w:noWrap w:val="0"/>
            <w:vAlign w:val="center"/>
          </w:tcPr>
          <w:p>
            <w:pPr>
              <w:widowControl/>
              <w:spacing w:line="320" w:lineRule="exact"/>
              <w:jc w:val="center"/>
              <w:rPr>
                <w:rFonts w:eastAsia="仿宋_GB2312"/>
                <w:color w:val="000000"/>
                <w:sz w:val="24"/>
                <w:szCs w:val="28"/>
                <w:lang w:val="en-US" w:eastAsia="zh-CN"/>
              </w:rPr>
            </w:pPr>
            <w:r>
              <w:rPr>
                <w:rFonts w:eastAsia="仿宋_GB2312"/>
                <w:sz w:val="24"/>
                <w:lang w:val="en-US" w:eastAsia="zh-CN"/>
              </w:rPr>
              <w:t>专项考核（10分）</w:t>
            </w:r>
          </w:p>
        </w:tc>
        <w:tc>
          <w:tcPr>
            <w:tcW w:w="10116" w:type="dxa"/>
            <w:shd w:val="clear" w:color="auto" w:fill="auto"/>
            <w:noWrap w:val="0"/>
            <w:vAlign w:val="center"/>
          </w:tcPr>
          <w:p>
            <w:pPr>
              <w:widowControl/>
              <w:spacing w:line="320" w:lineRule="exact"/>
              <w:jc w:val="both"/>
              <w:rPr>
                <w:rFonts w:eastAsia="仿宋_GB2312"/>
                <w:sz w:val="24"/>
                <w:lang w:val="en-US" w:eastAsia="zh-CN"/>
              </w:rPr>
            </w:pPr>
            <w:r>
              <w:rPr>
                <w:rFonts w:eastAsia="仿宋_GB2312"/>
                <w:sz w:val="24"/>
                <w:lang w:val="en-US" w:eastAsia="zh-CN"/>
              </w:rPr>
              <w:t>1</w:t>
            </w:r>
            <w:r>
              <w:rPr>
                <w:rFonts w:hint="eastAsia" w:ascii="仿宋_GB2312" w:hAnsi="仿宋_GB2312" w:eastAsia="仿宋_GB2312" w:cs="仿宋_GB2312"/>
                <w:sz w:val="24"/>
                <w:lang w:val="en-US" w:eastAsia="zh-CN"/>
              </w:rPr>
              <w:t>.</w:t>
            </w:r>
            <w:r>
              <w:rPr>
                <w:rFonts w:eastAsia="仿宋_GB2312"/>
                <w:sz w:val="24"/>
                <w:lang w:val="en-US" w:eastAsia="zh-CN"/>
              </w:rPr>
              <w:t>完成稳进提质专项任务考核的，每次得1.75分，最高得7分，未完成不得分；</w:t>
            </w:r>
          </w:p>
          <w:p>
            <w:pPr>
              <w:widowControl/>
              <w:spacing w:line="320" w:lineRule="exact"/>
              <w:jc w:val="both"/>
              <w:rPr>
                <w:rFonts w:eastAsia="仿宋_GB2312"/>
                <w:sz w:val="24"/>
                <w:lang w:val="en-US" w:eastAsia="zh-CN"/>
              </w:rPr>
            </w:pPr>
            <w:r>
              <w:rPr>
                <w:rFonts w:eastAsia="仿宋_GB2312"/>
                <w:sz w:val="24"/>
                <w:lang w:val="en-US" w:eastAsia="zh-CN"/>
              </w:rPr>
              <w:t>2</w:t>
            </w:r>
            <w:r>
              <w:rPr>
                <w:rFonts w:hint="eastAsia" w:ascii="仿宋_GB2312" w:hAnsi="仿宋_GB2312" w:eastAsia="仿宋_GB2312" w:cs="仿宋_GB2312"/>
                <w:sz w:val="24"/>
                <w:lang w:val="en-US" w:eastAsia="zh-CN"/>
              </w:rPr>
              <w:t>.</w:t>
            </w:r>
            <w:r>
              <w:rPr>
                <w:rFonts w:eastAsia="仿宋_GB2312"/>
                <w:sz w:val="24"/>
                <w:lang w:val="en-US" w:eastAsia="zh-CN"/>
              </w:rPr>
              <w:t>2022年度双月攻坚竞赛活动每面红旗得0.5分，最高得3分，每面黄牌扣0.5分。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3</w:t>
            </w:r>
          </w:p>
        </w:tc>
        <w:tc>
          <w:tcPr>
            <w:tcW w:w="160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结构优化</w:t>
            </w:r>
          </w:p>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（15分）</w:t>
            </w:r>
          </w:p>
        </w:tc>
        <w:tc>
          <w:tcPr>
            <w:tcW w:w="2325" w:type="dxa"/>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pacing w:val="-4"/>
                <w:sz w:val="24"/>
                <w:szCs w:val="28"/>
                <w:lang w:val="en-US" w:eastAsia="zh-CN"/>
              </w:rPr>
              <w:t>制造业贷款（5分）</w:t>
            </w:r>
          </w:p>
        </w:tc>
        <w:tc>
          <w:tcPr>
            <w:tcW w:w="10116" w:type="dxa"/>
            <w:shd w:val="clear" w:color="auto" w:fill="auto"/>
            <w:noWrap w:val="0"/>
            <w:vAlign w:val="center"/>
          </w:tcPr>
          <w:p>
            <w:pPr>
              <w:widowControl/>
              <w:spacing w:line="320" w:lineRule="exact"/>
              <w:jc w:val="both"/>
              <w:rPr>
                <w:rFonts w:hint="eastAsia" w:eastAsia="仿宋_GB2312"/>
                <w:spacing w:val="-4"/>
                <w:sz w:val="24"/>
                <w:szCs w:val="28"/>
                <w:lang w:val="en-US" w:eastAsia="zh-CN"/>
              </w:rPr>
            </w:pPr>
            <w:r>
              <w:rPr>
                <w:rFonts w:eastAsia="仿宋_GB2312"/>
                <w:spacing w:val="-4"/>
                <w:sz w:val="24"/>
                <w:szCs w:val="28"/>
                <w:lang w:val="en-US" w:eastAsia="zh-CN"/>
              </w:rPr>
              <w:t>1</w:t>
            </w:r>
            <w:r>
              <w:rPr>
                <w:rFonts w:hint="eastAsia" w:ascii="仿宋_GB2312" w:hAnsi="仿宋_GB2312" w:eastAsia="仿宋_GB2312" w:cs="仿宋_GB2312"/>
                <w:spacing w:val="-4"/>
                <w:sz w:val="24"/>
                <w:szCs w:val="28"/>
                <w:lang w:val="en-US" w:eastAsia="zh-CN"/>
              </w:rPr>
              <w:t>.</w:t>
            </w:r>
            <w:r>
              <w:rPr>
                <w:rFonts w:eastAsia="仿宋_GB2312"/>
                <w:spacing w:val="-4"/>
                <w:sz w:val="24"/>
                <w:szCs w:val="28"/>
                <w:lang w:val="en-US" w:eastAsia="zh-CN"/>
              </w:rPr>
              <w:t>各银行年末制造业贷款增速达到14.4%的（按90亿任务测算），得基本分2分。超额完成的，增长额每增加1000万加0.1分，最多加1分；未完成目标的，按未完成比例扣分；负增长不得分</w:t>
            </w:r>
            <w:r>
              <w:rPr>
                <w:rFonts w:hint="eastAsia" w:eastAsia="仿宋_GB2312"/>
                <w:spacing w:val="-4"/>
                <w:sz w:val="24"/>
                <w:szCs w:val="28"/>
                <w:lang w:val="en-US" w:eastAsia="zh-CN"/>
              </w:rPr>
              <w:t>；</w:t>
            </w:r>
          </w:p>
          <w:p>
            <w:pPr>
              <w:widowControl/>
              <w:spacing w:line="320" w:lineRule="exact"/>
              <w:jc w:val="both"/>
              <w:rPr>
                <w:rFonts w:eastAsia="仿宋_GB2312"/>
                <w:spacing w:val="-4"/>
                <w:sz w:val="24"/>
                <w:szCs w:val="28"/>
                <w:lang w:val="en-US" w:eastAsia="zh-CN"/>
              </w:rPr>
            </w:pPr>
            <w:r>
              <w:rPr>
                <w:rFonts w:eastAsia="仿宋_GB2312"/>
                <w:spacing w:val="-4"/>
                <w:sz w:val="24"/>
                <w:szCs w:val="28"/>
                <w:lang w:val="en-US" w:eastAsia="zh-CN"/>
              </w:rPr>
              <w:t>2</w:t>
            </w:r>
            <w:r>
              <w:rPr>
                <w:rFonts w:hint="eastAsia" w:ascii="仿宋_GB2312" w:hAnsi="仿宋_GB2312" w:eastAsia="仿宋_GB2312" w:cs="仿宋_GB2312"/>
                <w:spacing w:val="-4"/>
                <w:sz w:val="24"/>
                <w:szCs w:val="28"/>
                <w:lang w:val="en-US" w:eastAsia="zh-CN"/>
              </w:rPr>
              <w:t>.</w:t>
            </w:r>
            <w:r>
              <w:rPr>
                <w:rFonts w:eastAsia="仿宋_GB2312"/>
                <w:spacing w:val="-4"/>
                <w:sz w:val="24"/>
                <w:szCs w:val="28"/>
                <w:lang w:val="en-US" w:eastAsia="zh-CN"/>
              </w:rPr>
              <w:t>制造业中长期贷款占全部中长期贷款的比重达到全市平均值的，得2分；低于全市平均值的按比例折算。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3</w:t>
            </w:r>
          </w:p>
        </w:tc>
        <w:tc>
          <w:tcPr>
            <w:tcW w:w="1605" w:type="dxa"/>
            <w:vMerge w:val="restart"/>
            <w:shd w:val="clear" w:color="auto" w:fill="auto"/>
            <w:noWrap w:val="0"/>
            <w:vAlign w:val="center"/>
          </w:tcPr>
          <w:p>
            <w:pPr>
              <w:widowControl/>
              <w:spacing w:line="320" w:lineRule="exact"/>
              <w:jc w:val="center"/>
              <w:rPr>
                <w:rFonts w:eastAsia="仿宋_GB2312"/>
                <w:color w:val="000000"/>
                <w:sz w:val="24"/>
                <w:lang w:val="en-US" w:eastAsia="zh-CN"/>
              </w:rPr>
            </w:pPr>
            <w:r>
              <w:rPr>
                <w:rFonts w:eastAsia="仿宋_GB2312"/>
                <w:color w:val="000000"/>
                <w:sz w:val="24"/>
                <w:lang w:val="en-US" w:eastAsia="zh-CN"/>
              </w:rPr>
              <w:t>结构优化</w:t>
            </w:r>
          </w:p>
          <w:p>
            <w:pPr>
              <w:widowControl/>
              <w:spacing w:line="320" w:lineRule="exact"/>
              <w:jc w:val="center"/>
              <w:rPr>
                <w:rFonts w:eastAsia="仿宋_GB2312"/>
                <w:color w:val="000000"/>
                <w:sz w:val="24"/>
                <w:lang w:val="en-US" w:eastAsia="zh-CN"/>
              </w:rPr>
            </w:pPr>
            <w:r>
              <w:rPr>
                <w:rFonts w:eastAsia="仿宋_GB2312"/>
                <w:color w:val="000000"/>
                <w:sz w:val="24"/>
                <w:lang w:val="en-US" w:eastAsia="zh-CN"/>
              </w:rPr>
              <w:t>（15分）</w:t>
            </w:r>
          </w:p>
        </w:tc>
        <w:tc>
          <w:tcPr>
            <w:tcW w:w="2325" w:type="dxa"/>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pacing w:val="-4"/>
                <w:sz w:val="24"/>
                <w:szCs w:val="28"/>
                <w:lang w:val="en-US" w:eastAsia="zh-CN"/>
              </w:rPr>
              <w:t>小微企业贷款（5分）</w:t>
            </w:r>
          </w:p>
        </w:tc>
        <w:tc>
          <w:tcPr>
            <w:tcW w:w="10116" w:type="dxa"/>
            <w:shd w:val="clear" w:color="auto" w:fill="auto"/>
            <w:noWrap w:val="0"/>
            <w:vAlign w:val="center"/>
          </w:tcPr>
          <w:p>
            <w:pPr>
              <w:widowControl/>
              <w:spacing w:line="360" w:lineRule="exact"/>
              <w:jc w:val="both"/>
              <w:rPr>
                <w:rFonts w:eastAsia="仿宋_GB2312"/>
                <w:color w:val="000000"/>
                <w:sz w:val="24"/>
                <w:lang w:val="en-US" w:eastAsia="zh-CN"/>
              </w:rPr>
            </w:pPr>
            <w:r>
              <w:rPr>
                <w:rFonts w:eastAsia="仿宋_GB2312"/>
                <w:color w:val="000000"/>
                <w:spacing w:val="-4"/>
                <w:sz w:val="24"/>
                <w:szCs w:val="28"/>
                <w:lang w:val="en-US" w:eastAsia="zh-CN"/>
              </w:rPr>
              <w:t>各银行年末小微贷款增速达到18.6%的（按160亿任务测算），得基本分3分。超额完成的，增长额每增加4000万加0.1分，最多加2分；未完成目标的，按未完成比例扣分；负增长不得分。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1605"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2325" w:type="dxa"/>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z w:val="24"/>
                <w:lang w:val="en-US" w:eastAsia="zh-CN"/>
              </w:rPr>
              <w:t>首贷户（2分）</w:t>
            </w:r>
          </w:p>
        </w:tc>
        <w:tc>
          <w:tcPr>
            <w:tcW w:w="10116" w:type="dxa"/>
            <w:shd w:val="clear" w:color="auto" w:fill="auto"/>
            <w:noWrap w:val="0"/>
            <w:vAlign w:val="center"/>
          </w:tcPr>
          <w:p>
            <w:pPr>
              <w:widowControl/>
              <w:spacing w:line="360" w:lineRule="exact"/>
              <w:jc w:val="left"/>
              <w:rPr>
                <w:rFonts w:eastAsia="仿宋_GB2312"/>
                <w:color w:val="000000"/>
                <w:sz w:val="24"/>
                <w:szCs w:val="28"/>
                <w:lang w:val="en-US" w:eastAsia="zh-CN"/>
              </w:rPr>
            </w:pPr>
            <w:r>
              <w:rPr>
                <w:rFonts w:eastAsia="仿宋_GB2312"/>
                <w:color w:val="000000"/>
                <w:sz w:val="24"/>
                <w:szCs w:val="28"/>
                <w:lang w:val="en-US" w:eastAsia="zh-CN"/>
              </w:rPr>
              <w:t>1</w:t>
            </w:r>
            <w:r>
              <w:rPr>
                <w:rFonts w:hint="eastAsia" w:ascii="仿宋_GB2312" w:hAnsi="仿宋_GB2312" w:eastAsia="仿宋_GB2312" w:cs="仿宋_GB2312"/>
                <w:color w:val="000000"/>
                <w:sz w:val="24"/>
                <w:szCs w:val="28"/>
                <w:lang w:val="en-US" w:eastAsia="zh-CN"/>
              </w:rPr>
              <w:t>.</w:t>
            </w:r>
            <w:r>
              <w:rPr>
                <w:rFonts w:eastAsia="仿宋_GB2312"/>
                <w:color w:val="000000"/>
                <w:sz w:val="24"/>
                <w:szCs w:val="28"/>
                <w:lang w:val="en-US" w:eastAsia="zh-CN"/>
              </w:rPr>
              <w:t>根据人行下达的新增小微企业和个体工商</w:t>
            </w:r>
            <w:r>
              <w:rPr>
                <w:rFonts w:hint="eastAsia" w:ascii="仿宋_GB2312" w:hAnsi="仿宋_GB2312" w:eastAsia="仿宋_GB2312" w:cs="仿宋_GB2312"/>
                <w:color w:val="000000"/>
                <w:sz w:val="24"/>
                <w:szCs w:val="28"/>
                <w:lang w:val="en-US" w:eastAsia="zh-CN"/>
              </w:rPr>
              <w:t>户“首贷户”任务</w:t>
            </w:r>
            <w:r>
              <w:rPr>
                <w:rFonts w:eastAsia="仿宋_GB2312"/>
                <w:color w:val="000000"/>
                <w:sz w:val="24"/>
                <w:szCs w:val="28"/>
                <w:lang w:val="en-US" w:eastAsia="zh-CN"/>
              </w:rPr>
              <w:t>完成率赋分，完成100%的得1分，未完成的按比例赋分；</w:t>
            </w:r>
          </w:p>
          <w:p>
            <w:pPr>
              <w:widowControl/>
              <w:spacing w:line="360" w:lineRule="exact"/>
              <w:jc w:val="left"/>
              <w:rPr>
                <w:rFonts w:eastAsia="仿宋_GB2312"/>
                <w:color w:val="000000"/>
                <w:sz w:val="24"/>
                <w:szCs w:val="28"/>
                <w:lang w:val="en-US" w:eastAsia="zh-CN"/>
              </w:rPr>
            </w:pPr>
            <w:r>
              <w:rPr>
                <w:rFonts w:eastAsia="仿宋_GB2312"/>
                <w:color w:val="000000"/>
                <w:sz w:val="24"/>
                <w:szCs w:val="28"/>
                <w:lang w:val="en-US" w:eastAsia="zh-CN"/>
              </w:rPr>
              <w:t>2</w:t>
            </w:r>
            <w:r>
              <w:rPr>
                <w:rFonts w:hint="eastAsia" w:ascii="仿宋_GB2312" w:hAnsi="仿宋_GB2312" w:eastAsia="仿宋_GB2312" w:cs="仿宋_GB2312"/>
                <w:color w:val="000000"/>
                <w:sz w:val="24"/>
                <w:szCs w:val="28"/>
                <w:lang w:val="en-US" w:eastAsia="zh-CN"/>
              </w:rPr>
              <w:t>.</w:t>
            </w:r>
            <w:r>
              <w:rPr>
                <w:rFonts w:eastAsia="仿宋_GB2312"/>
                <w:color w:val="000000"/>
                <w:sz w:val="24"/>
                <w:szCs w:val="28"/>
                <w:lang w:val="en-US" w:eastAsia="zh-CN"/>
              </w:rPr>
              <w:t>新增小微企业和个体工商</w:t>
            </w:r>
            <w:r>
              <w:rPr>
                <w:rFonts w:hint="eastAsia" w:ascii="仿宋_GB2312" w:hAnsi="仿宋_GB2312" w:eastAsia="仿宋_GB2312" w:cs="仿宋_GB2312"/>
                <w:color w:val="000000"/>
                <w:sz w:val="24"/>
                <w:szCs w:val="28"/>
                <w:lang w:val="en-US" w:eastAsia="zh-CN"/>
              </w:rPr>
              <w:t>户“首贷户”最多</w:t>
            </w:r>
            <w:r>
              <w:rPr>
                <w:rFonts w:eastAsia="仿宋_GB2312"/>
                <w:color w:val="000000"/>
                <w:sz w:val="24"/>
                <w:szCs w:val="28"/>
                <w:lang w:val="en-US" w:eastAsia="zh-CN"/>
              </w:rPr>
              <w:t>的得1分，其余按比例赋分，负增长不得分。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1605"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2325" w:type="dxa"/>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z w:val="24"/>
                <w:lang w:val="en-US" w:eastAsia="zh-CN"/>
              </w:rPr>
              <w:t>涉农贷款（1分）</w:t>
            </w:r>
          </w:p>
        </w:tc>
        <w:tc>
          <w:tcPr>
            <w:tcW w:w="10116" w:type="dxa"/>
            <w:shd w:val="clear" w:color="auto" w:fill="auto"/>
            <w:noWrap w:val="0"/>
            <w:vAlign w:val="center"/>
          </w:tcPr>
          <w:p>
            <w:pPr>
              <w:widowControl/>
              <w:spacing w:line="360" w:lineRule="exact"/>
              <w:jc w:val="left"/>
              <w:rPr>
                <w:rFonts w:eastAsia="仿宋_GB2312"/>
                <w:color w:val="000000"/>
                <w:sz w:val="24"/>
                <w:lang w:val="en-US" w:eastAsia="zh-CN"/>
              </w:rPr>
            </w:pPr>
            <w:r>
              <w:rPr>
                <w:rFonts w:eastAsia="仿宋_GB2312"/>
                <w:color w:val="000000"/>
                <w:sz w:val="24"/>
                <w:szCs w:val="28"/>
                <w:lang w:val="en-US" w:eastAsia="zh-CN"/>
              </w:rPr>
              <w:t>涉农贷款余额同比增速达到全市平均增速的，得1分；低于全市平均增速的按比例折算；负增长不得分。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1605"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2325" w:type="dxa"/>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z w:val="24"/>
                <w:lang w:val="en-US" w:eastAsia="zh-CN"/>
              </w:rPr>
              <w:t>科技贷款（1分）</w:t>
            </w:r>
          </w:p>
        </w:tc>
        <w:tc>
          <w:tcPr>
            <w:tcW w:w="10116" w:type="dxa"/>
            <w:shd w:val="clear" w:color="auto" w:fill="auto"/>
            <w:noWrap w:val="0"/>
            <w:vAlign w:val="center"/>
          </w:tcPr>
          <w:p>
            <w:pPr>
              <w:widowControl/>
              <w:spacing w:line="360" w:lineRule="exact"/>
              <w:jc w:val="left"/>
              <w:rPr>
                <w:rFonts w:eastAsia="仿宋_GB2312"/>
                <w:color w:val="000000"/>
                <w:sz w:val="24"/>
                <w:szCs w:val="28"/>
                <w:lang w:val="en-US" w:eastAsia="zh-CN"/>
              </w:rPr>
            </w:pPr>
            <w:r>
              <w:rPr>
                <w:rFonts w:eastAsia="仿宋_GB2312"/>
                <w:color w:val="000000"/>
                <w:sz w:val="24"/>
                <w:szCs w:val="28"/>
                <w:lang w:val="en-US" w:eastAsia="zh-CN"/>
              </w:rPr>
              <w:t>科技贷款余额同比增速达到全市平均增速的，得1分；低于全市平均增速的按比例折算；负增长不得分。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0" w:hRule="atLeast"/>
          <w:jc w:val="center"/>
        </w:trPr>
        <w:tc>
          <w:tcPr>
            <w:tcW w:w="779"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1605" w:type="dxa"/>
            <w:vMerge w:val="continue"/>
            <w:shd w:val="clear" w:color="auto" w:fill="auto"/>
            <w:noWrap w:val="0"/>
            <w:vAlign w:val="center"/>
          </w:tcPr>
          <w:p>
            <w:pPr>
              <w:widowControl/>
              <w:spacing w:line="360" w:lineRule="exact"/>
              <w:jc w:val="center"/>
              <w:rPr>
                <w:rFonts w:eastAsia="仿宋_GB2312"/>
                <w:color w:val="000000"/>
                <w:sz w:val="24"/>
                <w:lang w:val="en-US" w:eastAsia="zh-CN"/>
              </w:rPr>
            </w:pPr>
          </w:p>
        </w:tc>
        <w:tc>
          <w:tcPr>
            <w:tcW w:w="2325" w:type="dxa"/>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z w:val="24"/>
                <w:lang w:val="en-US" w:eastAsia="zh-CN"/>
              </w:rPr>
              <w:t>绿色贷款（1分）</w:t>
            </w:r>
          </w:p>
        </w:tc>
        <w:tc>
          <w:tcPr>
            <w:tcW w:w="10116" w:type="dxa"/>
            <w:shd w:val="clear" w:color="auto" w:fill="auto"/>
            <w:noWrap w:val="0"/>
            <w:vAlign w:val="center"/>
          </w:tcPr>
          <w:p>
            <w:pPr>
              <w:widowControl/>
              <w:spacing w:line="360" w:lineRule="exact"/>
              <w:jc w:val="left"/>
              <w:rPr>
                <w:rFonts w:eastAsia="仿宋_GB2312"/>
                <w:color w:val="000000"/>
                <w:sz w:val="24"/>
                <w:lang w:val="en-US" w:eastAsia="zh-CN"/>
              </w:rPr>
            </w:pPr>
            <w:r>
              <w:rPr>
                <w:rFonts w:eastAsia="仿宋_GB2312"/>
                <w:color w:val="000000"/>
                <w:sz w:val="24"/>
                <w:szCs w:val="28"/>
                <w:lang w:val="en-US" w:eastAsia="zh-CN"/>
              </w:rPr>
              <w:t>绿色贷款余额同比增速达到全市平均增速的，得1分；低于全市平均增速的按比例折算；负增长不得分。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00" w:hRule="atLeast"/>
          <w:jc w:val="center"/>
        </w:trPr>
        <w:tc>
          <w:tcPr>
            <w:tcW w:w="779" w:type="dxa"/>
            <w:vMerge w:val="restart"/>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4</w:t>
            </w:r>
          </w:p>
        </w:tc>
        <w:tc>
          <w:tcPr>
            <w:tcW w:w="1605" w:type="dxa"/>
            <w:vMerge w:val="restart"/>
            <w:shd w:val="clear" w:color="auto" w:fill="auto"/>
            <w:noWrap w:val="0"/>
            <w:vAlign w:val="center"/>
          </w:tcPr>
          <w:p>
            <w:pPr>
              <w:widowControl/>
              <w:spacing w:line="360" w:lineRule="exact"/>
              <w:jc w:val="center"/>
              <w:rPr>
                <w:rFonts w:eastAsia="仿宋_GB2312"/>
                <w:color w:val="000000"/>
                <w:sz w:val="24"/>
                <w:lang w:val="en-US" w:eastAsia="zh-CN"/>
              </w:rPr>
            </w:pPr>
            <w:r>
              <w:rPr>
                <w:rFonts w:eastAsia="仿宋_GB2312"/>
                <w:color w:val="000000"/>
                <w:sz w:val="24"/>
                <w:lang w:val="en-US" w:eastAsia="zh-CN"/>
              </w:rPr>
              <w:t>改革创新</w:t>
            </w:r>
          </w:p>
          <w:p>
            <w:pPr>
              <w:widowControl/>
              <w:spacing w:line="360" w:lineRule="exact"/>
              <w:jc w:val="center"/>
              <w:rPr>
                <w:rFonts w:eastAsia="仿宋_GB2312"/>
                <w:sz w:val="24"/>
                <w:lang w:val="en-US" w:eastAsia="zh-CN"/>
              </w:rPr>
            </w:pPr>
            <w:r>
              <w:rPr>
                <w:rFonts w:eastAsia="仿宋_GB2312"/>
                <w:color w:val="000000"/>
                <w:sz w:val="24"/>
                <w:lang w:val="en-US" w:eastAsia="zh-CN"/>
              </w:rPr>
              <w:t>（10分）</w:t>
            </w:r>
          </w:p>
        </w:tc>
        <w:tc>
          <w:tcPr>
            <w:tcW w:w="2325" w:type="dxa"/>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金融改革</w:t>
            </w:r>
            <w:r>
              <w:rPr>
                <w:rFonts w:eastAsia="仿宋_GB2312"/>
                <w:color w:val="000000"/>
                <w:sz w:val="24"/>
                <w:lang w:val="en-US" w:eastAsia="zh-CN"/>
              </w:rPr>
              <w:t>（5分）</w:t>
            </w:r>
          </w:p>
        </w:tc>
        <w:tc>
          <w:tcPr>
            <w:tcW w:w="10116" w:type="dxa"/>
            <w:shd w:val="clear" w:color="auto" w:fill="auto"/>
            <w:noWrap w:val="0"/>
            <w:vAlign w:val="center"/>
          </w:tcPr>
          <w:p>
            <w:pPr>
              <w:widowControl/>
              <w:spacing w:line="360" w:lineRule="exact"/>
              <w:jc w:val="left"/>
              <w:rPr>
                <w:rFonts w:eastAsia="仿宋_GB2312"/>
                <w:color w:val="000000"/>
                <w:sz w:val="24"/>
                <w:szCs w:val="28"/>
                <w:lang w:val="en-US" w:eastAsia="zh-CN"/>
              </w:rPr>
            </w:pPr>
            <w:r>
              <w:rPr>
                <w:rFonts w:eastAsia="仿宋_GB2312"/>
                <w:color w:val="000000"/>
                <w:sz w:val="24"/>
                <w:szCs w:val="28"/>
                <w:lang w:val="en-US" w:eastAsia="zh-CN"/>
              </w:rPr>
              <w:t>承接或落实金融改革年度工作和试点任务，开展产品和服务创新，成效显著被列为典型案例予以推广，视情进行综合赋分。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00" w:hRule="atLeast"/>
          <w:jc w:val="center"/>
        </w:trPr>
        <w:tc>
          <w:tcPr>
            <w:tcW w:w="779" w:type="dxa"/>
            <w:vMerge w:val="continue"/>
            <w:shd w:val="clear" w:color="auto" w:fill="auto"/>
            <w:noWrap w:val="0"/>
            <w:vAlign w:val="center"/>
          </w:tcPr>
          <w:p>
            <w:pPr>
              <w:widowControl/>
              <w:spacing w:line="360" w:lineRule="exact"/>
              <w:jc w:val="center"/>
              <w:rPr>
                <w:rFonts w:eastAsia="仿宋_GB2312"/>
                <w:color w:val="000000"/>
                <w:spacing w:val="-6"/>
                <w:sz w:val="24"/>
                <w:lang w:val="en-US" w:eastAsia="zh-CN"/>
              </w:rPr>
            </w:pPr>
          </w:p>
        </w:tc>
        <w:tc>
          <w:tcPr>
            <w:tcW w:w="1605" w:type="dxa"/>
            <w:vMerge w:val="continue"/>
            <w:shd w:val="clear" w:color="auto" w:fill="auto"/>
            <w:noWrap w:val="0"/>
            <w:vAlign w:val="center"/>
          </w:tcPr>
          <w:p>
            <w:pPr>
              <w:widowControl/>
              <w:spacing w:line="360" w:lineRule="exact"/>
              <w:jc w:val="center"/>
              <w:rPr>
                <w:rFonts w:eastAsia="仿宋_GB2312"/>
                <w:color w:val="000000"/>
                <w:spacing w:val="-6"/>
                <w:sz w:val="24"/>
                <w:lang w:val="en-US" w:eastAsia="zh-CN"/>
              </w:rPr>
            </w:pPr>
          </w:p>
        </w:tc>
        <w:tc>
          <w:tcPr>
            <w:tcW w:w="2325" w:type="dxa"/>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数字化改革</w:t>
            </w:r>
            <w:r>
              <w:rPr>
                <w:rFonts w:eastAsia="仿宋_GB2312"/>
                <w:color w:val="000000"/>
                <w:sz w:val="24"/>
                <w:lang w:val="en-US" w:eastAsia="zh-CN"/>
              </w:rPr>
              <w:t>（5分）</w:t>
            </w:r>
          </w:p>
        </w:tc>
        <w:tc>
          <w:tcPr>
            <w:tcW w:w="10116" w:type="dxa"/>
            <w:shd w:val="clear" w:color="auto" w:fill="auto"/>
            <w:noWrap w:val="0"/>
            <w:vAlign w:val="center"/>
          </w:tcPr>
          <w:p>
            <w:pPr>
              <w:widowControl/>
              <w:spacing w:line="360" w:lineRule="exact"/>
              <w:jc w:val="left"/>
              <w:rPr>
                <w:rFonts w:eastAsia="仿宋_GB2312"/>
                <w:color w:val="000000"/>
                <w:sz w:val="24"/>
                <w:szCs w:val="28"/>
                <w:lang w:val="en-US" w:eastAsia="zh-CN"/>
              </w:rPr>
            </w:pPr>
            <w:r>
              <w:rPr>
                <w:rFonts w:eastAsia="仿宋_GB2312"/>
                <w:color w:val="000000"/>
                <w:sz w:val="24"/>
                <w:szCs w:val="28"/>
                <w:lang w:val="en-US" w:eastAsia="zh-CN"/>
              </w:rPr>
              <w:t>开展金融领域数字化改革，开发或贯通应用项目，推动数字化改革在金融领域延伸扩面，视情进行综合赋分。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4" w:hRule="atLeast"/>
          <w:jc w:val="center"/>
        </w:trPr>
        <w:tc>
          <w:tcPr>
            <w:tcW w:w="779" w:type="dxa"/>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5</w:t>
            </w:r>
          </w:p>
        </w:tc>
        <w:tc>
          <w:tcPr>
            <w:tcW w:w="1605" w:type="dxa"/>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金融三服务</w:t>
            </w:r>
          </w:p>
          <w:p>
            <w:pPr>
              <w:widowControl/>
              <w:spacing w:line="360" w:lineRule="exact"/>
              <w:jc w:val="center"/>
              <w:rPr>
                <w:rFonts w:eastAsia="仿宋_GB2312"/>
                <w:sz w:val="24"/>
                <w:lang w:val="en-US" w:eastAsia="zh-CN"/>
              </w:rPr>
            </w:pPr>
            <w:r>
              <w:rPr>
                <w:rFonts w:eastAsia="仿宋_GB2312"/>
                <w:color w:val="000000"/>
                <w:sz w:val="24"/>
                <w:lang w:val="en-US" w:eastAsia="zh-CN"/>
              </w:rPr>
              <w:t>（10分）</w:t>
            </w: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金融顾问（4分）</w:t>
            </w:r>
          </w:p>
        </w:tc>
        <w:tc>
          <w:tcPr>
            <w:tcW w:w="10116" w:type="dxa"/>
            <w:shd w:val="clear" w:color="auto" w:fill="auto"/>
            <w:noWrap w:val="0"/>
            <w:vAlign w:val="center"/>
          </w:tcPr>
          <w:p>
            <w:pPr>
              <w:widowControl/>
              <w:spacing w:line="360" w:lineRule="exact"/>
              <w:jc w:val="both"/>
              <w:rPr>
                <w:rFonts w:eastAsia="仿宋_GB2312"/>
                <w:sz w:val="24"/>
                <w:lang w:val="en-US" w:eastAsia="zh-CN"/>
              </w:rPr>
            </w:pPr>
            <w:r>
              <w:rPr>
                <w:rFonts w:eastAsia="仿宋_GB2312"/>
                <w:sz w:val="24"/>
                <w:lang w:val="en-US" w:eastAsia="zh-CN"/>
              </w:rPr>
              <w:t>各银行定期开展金融服务，组建金融顾问工作队伍，建立金融顾问联络机制的，得2分；服务成效明显并形成典型案例的，加0.5分</w:t>
            </w:r>
            <w:r>
              <w:rPr>
                <w:rFonts w:hint="eastAsia" w:ascii="仿宋_GB2312" w:hAnsi="仿宋_GB2312" w:eastAsia="仿宋_GB2312" w:cs="仿宋_GB2312"/>
                <w:sz w:val="24"/>
                <w:szCs w:val="28"/>
                <w:lang w:val="en-US" w:eastAsia="zh-CN"/>
              </w:rPr>
              <w:t>/</w:t>
            </w:r>
            <w:r>
              <w:rPr>
                <w:rFonts w:eastAsia="仿宋_GB2312"/>
                <w:sz w:val="24"/>
                <w:lang w:val="en-US" w:eastAsia="zh-CN"/>
              </w:rPr>
              <w:t>起，最高加2分。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3" w:hRule="atLeast"/>
          <w:jc w:val="center"/>
        </w:trPr>
        <w:tc>
          <w:tcPr>
            <w:tcW w:w="779" w:type="dxa"/>
            <w:vMerge w:val="restart"/>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5</w:t>
            </w:r>
          </w:p>
        </w:tc>
        <w:tc>
          <w:tcPr>
            <w:tcW w:w="1605" w:type="dxa"/>
            <w:vMerge w:val="restart"/>
            <w:shd w:val="clear" w:color="auto" w:fill="auto"/>
            <w:noWrap w:val="0"/>
            <w:vAlign w:val="center"/>
          </w:tcPr>
          <w:p>
            <w:pPr>
              <w:widowControl/>
              <w:spacing w:line="360" w:lineRule="exact"/>
              <w:jc w:val="center"/>
              <w:rPr>
                <w:rFonts w:eastAsia="仿宋_GB2312"/>
                <w:color w:val="000000"/>
                <w:spacing w:val="-6"/>
                <w:sz w:val="24"/>
                <w:lang w:val="en-US" w:eastAsia="zh-CN"/>
              </w:rPr>
            </w:pPr>
            <w:r>
              <w:rPr>
                <w:rFonts w:eastAsia="仿宋_GB2312"/>
                <w:color w:val="000000"/>
                <w:spacing w:val="-6"/>
                <w:sz w:val="24"/>
                <w:lang w:val="en-US" w:eastAsia="zh-CN"/>
              </w:rPr>
              <w:t>金融三服务</w:t>
            </w:r>
          </w:p>
          <w:p>
            <w:pPr>
              <w:widowControl/>
              <w:spacing w:line="360" w:lineRule="exact"/>
              <w:jc w:val="center"/>
              <w:rPr>
                <w:rFonts w:eastAsia="仿宋_GB2312"/>
                <w:sz w:val="24"/>
                <w:lang w:val="en-US" w:eastAsia="zh-CN"/>
              </w:rPr>
            </w:pPr>
            <w:r>
              <w:rPr>
                <w:rFonts w:eastAsia="仿宋_GB2312"/>
                <w:color w:val="000000"/>
                <w:sz w:val="24"/>
                <w:lang w:val="en-US" w:eastAsia="zh-CN"/>
              </w:rPr>
              <w:t>（10分）</w:t>
            </w:r>
          </w:p>
        </w:tc>
        <w:tc>
          <w:tcPr>
            <w:tcW w:w="2325" w:type="dxa"/>
            <w:shd w:val="clear" w:color="auto" w:fill="auto"/>
            <w:noWrap w:val="0"/>
            <w:vAlign w:val="center"/>
          </w:tcPr>
          <w:p>
            <w:pPr>
              <w:widowControl/>
              <w:spacing w:line="360" w:lineRule="exact"/>
              <w:jc w:val="center"/>
              <w:rPr>
                <w:lang w:val="en-US" w:eastAsia="zh-CN"/>
              </w:rPr>
            </w:pPr>
            <w:r>
              <w:rPr>
                <w:rFonts w:eastAsia="仿宋_GB2312"/>
                <w:sz w:val="24"/>
                <w:lang w:val="en-US" w:eastAsia="zh-CN"/>
              </w:rPr>
              <w:t>乡村振兴（2分）</w:t>
            </w:r>
          </w:p>
        </w:tc>
        <w:tc>
          <w:tcPr>
            <w:tcW w:w="10116" w:type="dxa"/>
            <w:shd w:val="clear" w:color="auto" w:fill="auto"/>
            <w:noWrap w:val="0"/>
            <w:vAlign w:val="center"/>
          </w:tcPr>
          <w:p>
            <w:pPr>
              <w:widowControl/>
              <w:spacing w:line="360" w:lineRule="exact"/>
              <w:jc w:val="both"/>
              <w:rPr>
                <w:rFonts w:eastAsia="仿宋_GB2312"/>
                <w:sz w:val="24"/>
                <w:lang w:val="en-US" w:eastAsia="zh-CN"/>
              </w:rPr>
            </w:pPr>
            <w:r>
              <w:rPr>
                <w:rFonts w:eastAsia="仿宋_GB2312"/>
                <w:sz w:val="24"/>
                <w:lang w:val="en-US" w:eastAsia="zh-CN"/>
              </w:rPr>
              <w:t>各银行对照</w:t>
            </w:r>
            <w:r>
              <w:rPr>
                <w:rFonts w:hint="eastAsia" w:ascii="仿宋_GB2312" w:hAnsi="仿宋_GB2312" w:eastAsia="仿宋_GB2312" w:cs="仿宋_GB2312"/>
                <w:sz w:val="24"/>
                <w:lang w:val="en-US" w:eastAsia="zh-CN"/>
              </w:rPr>
              <w:t>《“百团结百村”共建共</w:t>
            </w:r>
            <w:r>
              <w:rPr>
                <w:rFonts w:eastAsia="仿宋_GB2312"/>
                <w:sz w:val="24"/>
                <w:lang w:val="en-US" w:eastAsia="zh-CN"/>
              </w:rPr>
              <w:t>富行动方案》定期走访结对村、开展金融服务的并取得成效，得2分。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4" w:hRule="atLeast"/>
          <w:jc w:val="center"/>
        </w:trPr>
        <w:tc>
          <w:tcPr>
            <w:tcW w:w="779" w:type="dxa"/>
            <w:vMerge w:val="continue"/>
            <w:shd w:val="clear" w:color="auto" w:fill="auto"/>
            <w:noWrap w:val="0"/>
            <w:vAlign w:val="center"/>
          </w:tcPr>
          <w:p>
            <w:pPr>
              <w:widowControl/>
              <w:spacing w:line="360" w:lineRule="exact"/>
              <w:jc w:val="both"/>
              <w:rPr>
                <w:rFonts w:eastAsia="仿宋_GB2312"/>
                <w:sz w:val="24"/>
                <w:lang w:val="en-US" w:eastAsia="zh-CN"/>
              </w:rPr>
            </w:pPr>
          </w:p>
        </w:tc>
        <w:tc>
          <w:tcPr>
            <w:tcW w:w="1605" w:type="dxa"/>
            <w:vMerge w:val="continue"/>
            <w:shd w:val="clear" w:color="auto" w:fill="auto"/>
            <w:noWrap w:val="0"/>
            <w:vAlign w:val="center"/>
          </w:tcPr>
          <w:p>
            <w:pPr>
              <w:widowControl/>
              <w:spacing w:line="360" w:lineRule="exact"/>
              <w:jc w:val="both"/>
              <w:rPr>
                <w:rFonts w:eastAsia="仿宋_GB2312"/>
                <w:sz w:val="24"/>
                <w:lang w:val="en-US" w:eastAsia="zh-CN"/>
              </w:rPr>
            </w:pP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szCs w:val="28"/>
                <w:lang w:val="en-US" w:eastAsia="zh-CN"/>
              </w:rPr>
              <w:t>企业帮扶（4分）</w:t>
            </w:r>
          </w:p>
        </w:tc>
        <w:tc>
          <w:tcPr>
            <w:tcW w:w="10116" w:type="dxa"/>
            <w:shd w:val="clear" w:color="auto" w:fill="auto"/>
            <w:noWrap w:val="0"/>
            <w:vAlign w:val="center"/>
          </w:tcPr>
          <w:p>
            <w:pPr>
              <w:widowControl/>
              <w:spacing w:line="360" w:lineRule="exact"/>
              <w:jc w:val="both"/>
              <w:rPr>
                <w:rFonts w:eastAsia="仿宋_GB2312"/>
                <w:color w:val="000000"/>
                <w:sz w:val="24"/>
                <w:lang w:val="en-US" w:eastAsia="zh-CN"/>
              </w:rPr>
            </w:pPr>
            <w:r>
              <w:rPr>
                <w:rFonts w:eastAsia="仿宋_GB2312"/>
                <w:color w:val="000000"/>
                <w:sz w:val="24"/>
                <w:lang w:val="en-US" w:eastAsia="zh-CN"/>
              </w:rPr>
              <w:t>参与化解重大企业金融风险、解决重点企业金融问题、维护地方金融生态的银行机构，</w:t>
            </w:r>
            <w:r>
              <w:rPr>
                <w:rFonts w:eastAsia="仿宋_GB2312"/>
                <w:color w:val="000000"/>
                <w:sz w:val="24"/>
                <w:szCs w:val="28"/>
                <w:lang w:val="en-US" w:eastAsia="zh-CN"/>
              </w:rPr>
              <w:t>视工作成效综合赋分，最高得4分。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68" w:hRule="atLeast"/>
          <w:jc w:val="center"/>
        </w:trPr>
        <w:tc>
          <w:tcPr>
            <w:tcW w:w="779"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6</w:t>
            </w:r>
          </w:p>
        </w:tc>
        <w:tc>
          <w:tcPr>
            <w:tcW w:w="1605"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支持地方</w:t>
            </w:r>
          </w:p>
          <w:p>
            <w:pPr>
              <w:widowControl/>
              <w:spacing w:line="360" w:lineRule="exact"/>
              <w:jc w:val="center"/>
              <w:rPr>
                <w:rFonts w:eastAsia="仿宋_GB2312"/>
                <w:sz w:val="24"/>
                <w:lang w:val="en-US" w:eastAsia="zh-CN"/>
              </w:rPr>
            </w:pPr>
            <w:r>
              <w:rPr>
                <w:rFonts w:eastAsia="仿宋_GB2312"/>
                <w:sz w:val="24"/>
                <w:lang w:val="en-US" w:eastAsia="zh-CN"/>
              </w:rPr>
              <w:t>政策落地</w:t>
            </w:r>
          </w:p>
          <w:p>
            <w:pPr>
              <w:widowControl/>
              <w:spacing w:line="360" w:lineRule="exact"/>
              <w:jc w:val="center"/>
              <w:rPr>
                <w:rFonts w:eastAsia="仿宋_GB2312"/>
                <w:sz w:val="24"/>
                <w:lang w:val="en-US" w:eastAsia="zh-CN"/>
              </w:rPr>
            </w:pPr>
            <w:r>
              <w:rPr>
                <w:rFonts w:eastAsia="仿宋_GB2312"/>
                <w:color w:val="000000"/>
                <w:sz w:val="24"/>
                <w:lang w:val="en-US" w:eastAsia="zh-CN"/>
              </w:rPr>
              <w:t>（10分）</w:t>
            </w: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szCs w:val="28"/>
                <w:lang w:val="en-US" w:eastAsia="zh-CN"/>
              </w:rPr>
              <w:t>政策性担保（8分）</w:t>
            </w:r>
          </w:p>
        </w:tc>
        <w:tc>
          <w:tcPr>
            <w:tcW w:w="10116" w:type="dxa"/>
            <w:shd w:val="clear" w:color="auto" w:fill="auto"/>
            <w:noWrap w:val="0"/>
            <w:vAlign w:val="center"/>
          </w:tcPr>
          <w:p>
            <w:pPr>
              <w:widowControl/>
              <w:spacing w:line="360" w:lineRule="exact"/>
              <w:jc w:val="both"/>
              <w:rPr>
                <w:rFonts w:hint="eastAsia" w:eastAsia="仿宋_GB2312"/>
                <w:color w:val="000000"/>
                <w:sz w:val="24"/>
                <w:szCs w:val="28"/>
                <w:lang w:val="en-US" w:eastAsia="zh-CN"/>
              </w:rPr>
            </w:pPr>
            <w:r>
              <w:rPr>
                <w:rFonts w:eastAsia="仿宋_GB2312"/>
                <w:color w:val="000000"/>
                <w:sz w:val="24"/>
                <w:szCs w:val="28"/>
                <w:lang w:val="en-US" w:eastAsia="zh-CN"/>
              </w:rPr>
              <w:t>1</w:t>
            </w:r>
            <w:r>
              <w:rPr>
                <w:rFonts w:hint="eastAsia" w:ascii="仿宋_GB2312" w:hAnsi="仿宋_GB2312" w:eastAsia="仿宋_GB2312" w:cs="仿宋_GB2312"/>
                <w:color w:val="000000"/>
                <w:sz w:val="24"/>
                <w:szCs w:val="28"/>
                <w:lang w:val="en-US" w:eastAsia="zh-CN"/>
              </w:rPr>
              <w:t>.政策</w:t>
            </w:r>
            <w:r>
              <w:rPr>
                <w:rFonts w:eastAsia="仿宋_GB2312"/>
                <w:color w:val="000000"/>
                <w:sz w:val="24"/>
                <w:szCs w:val="28"/>
                <w:lang w:val="en-US" w:eastAsia="zh-CN"/>
              </w:rPr>
              <w:t>性担保业务合作（5分）：签订银担合作协议得1分；合作业务实际落地得0.5分；年底政策性担保在保业务余额5000万元及以下的，每500万元得0.1分；年底政策性担保在保业务余额超过5000万元的，每超2000万得0.1分，封顶2.5分</w:t>
            </w:r>
            <w:r>
              <w:rPr>
                <w:rFonts w:hint="eastAsia" w:eastAsia="仿宋_GB2312"/>
                <w:color w:val="000000"/>
                <w:sz w:val="24"/>
                <w:szCs w:val="28"/>
                <w:lang w:val="en-US" w:eastAsia="zh-CN"/>
              </w:rPr>
              <w:t>；</w:t>
            </w:r>
          </w:p>
          <w:p>
            <w:pPr>
              <w:widowControl/>
              <w:spacing w:line="360" w:lineRule="exact"/>
              <w:jc w:val="both"/>
              <w:rPr>
                <w:rFonts w:eastAsia="仿宋_GB2312"/>
                <w:color w:val="000000"/>
                <w:sz w:val="24"/>
                <w:szCs w:val="28"/>
                <w:lang w:val="en-US" w:eastAsia="zh-CN"/>
              </w:rPr>
            </w:pPr>
            <w:r>
              <w:rPr>
                <w:rFonts w:eastAsia="仿宋_GB2312"/>
                <w:color w:val="000000"/>
                <w:sz w:val="24"/>
                <w:szCs w:val="28"/>
                <w:lang w:val="en-US" w:eastAsia="zh-CN"/>
              </w:rPr>
              <w:t>2</w:t>
            </w:r>
            <w:r>
              <w:rPr>
                <w:rFonts w:hint="eastAsia" w:ascii="仿宋_GB2312" w:hAnsi="仿宋_GB2312" w:eastAsia="仿宋_GB2312" w:cs="仿宋_GB2312"/>
                <w:color w:val="000000"/>
                <w:sz w:val="24"/>
                <w:szCs w:val="28"/>
                <w:lang w:val="en-US" w:eastAsia="zh-CN"/>
              </w:rPr>
              <w:t>.“普惠保”</w:t>
            </w:r>
            <w:r>
              <w:rPr>
                <w:rFonts w:eastAsia="仿宋_GB2312"/>
                <w:color w:val="000000"/>
                <w:sz w:val="24"/>
                <w:szCs w:val="28"/>
                <w:lang w:val="en-US" w:eastAsia="zh-CN"/>
              </w:rPr>
              <w:t>产品合作（3分）：签</w:t>
            </w:r>
            <w:r>
              <w:rPr>
                <w:rFonts w:hint="eastAsia" w:ascii="仿宋_GB2312" w:hAnsi="仿宋_GB2312" w:eastAsia="仿宋_GB2312" w:cs="仿宋_GB2312"/>
                <w:color w:val="000000"/>
                <w:sz w:val="24"/>
                <w:szCs w:val="28"/>
                <w:lang w:val="en-US" w:eastAsia="zh-CN"/>
              </w:rPr>
              <w:t>订“普惠保”合</w:t>
            </w:r>
            <w:r>
              <w:rPr>
                <w:rFonts w:eastAsia="仿宋_GB2312"/>
                <w:color w:val="000000"/>
                <w:sz w:val="24"/>
                <w:szCs w:val="28"/>
                <w:lang w:val="en-US" w:eastAsia="zh-CN"/>
              </w:rPr>
              <w:t>作协议得0.5分；</w:t>
            </w:r>
            <w:r>
              <w:rPr>
                <w:rFonts w:hint="eastAsia" w:ascii="仿宋_GB2312" w:hAnsi="仿宋_GB2312" w:eastAsia="仿宋_GB2312" w:cs="仿宋_GB2312"/>
                <w:color w:val="000000"/>
                <w:sz w:val="24"/>
                <w:szCs w:val="28"/>
                <w:lang w:val="en-US" w:eastAsia="zh-CN"/>
              </w:rPr>
              <w:t>“普惠保”产</w:t>
            </w:r>
            <w:r>
              <w:rPr>
                <w:rFonts w:eastAsia="仿宋_GB2312"/>
                <w:color w:val="000000"/>
                <w:sz w:val="24"/>
                <w:szCs w:val="28"/>
                <w:lang w:val="en-US" w:eastAsia="zh-CN"/>
              </w:rPr>
              <w:t>品落地得0.5分；按年</w:t>
            </w:r>
            <w:r>
              <w:rPr>
                <w:rFonts w:hint="eastAsia" w:ascii="仿宋_GB2312" w:hAnsi="仿宋_GB2312" w:eastAsia="仿宋_GB2312" w:cs="仿宋_GB2312"/>
                <w:color w:val="000000"/>
                <w:sz w:val="24"/>
                <w:szCs w:val="28"/>
                <w:lang w:val="en-US" w:eastAsia="zh-CN"/>
              </w:rPr>
              <w:t>底“普惠保”业</w:t>
            </w:r>
            <w:r>
              <w:rPr>
                <w:rFonts w:eastAsia="仿宋_GB2312"/>
                <w:color w:val="000000"/>
                <w:sz w:val="24"/>
                <w:szCs w:val="28"/>
                <w:lang w:val="en-US" w:eastAsia="zh-CN"/>
              </w:rPr>
              <w:t>务余额占任务数完成比例赋分，封顶1分；年底</w:t>
            </w:r>
            <w:r>
              <w:rPr>
                <w:rFonts w:hint="eastAsia" w:ascii="仿宋_GB2312" w:hAnsi="仿宋_GB2312" w:eastAsia="仿宋_GB2312" w:cs="仿宋_GB2312"/>
                <w:color w:val="000000"/>
                <w:sz w:val="24"/>
                <w:szCs w:val="28"/>
                <w:lang w:val="en-US" w:eastAsia="zh-CN"/>
              </w:rPr>
              <w:t>“普惠保”</w:t>
            </w:r>
            <w:r>
              <w:rPr>
                <w:rFonts w:eastAsia="仿宋_GB2312"/>
                <w:color w:val="000000"/>
                <w:sz w:val="24"/>
                <w:szCs w:val="28"/>
                <w:lang w:val="en-US" w:eastAsia="zh-CN"/>
              </w:rPr>
              <w:t>业务余额每超任务数2000万元加0.1分，封顶1分。</w:t>
            </w:r>
          </w:p>
          <w:p>
            <w:pPr>
              <w:widowControl/>
              <w:spacing w:line="360" w:lineRule="exact"/>
              <w:jc w:val="both"/>
              <w:rPr>
                <w:rFonts w:eastAsia="仿宋_GB2312"/>
                <w:color w:val="000000"/>
                <w:sz w:val="24"/>
                <w:szCs w:val="28"/>
                <w:lang w:val="en-US" w:eastAsia="zh-CN"/>
              </w:rPr>
            </w:pPr>
            <w:r>
              <w:rPr>
                <w:rFonts w:eastAsia="仿宋_GB2312"/>
                <w:color w:val="000000"/>
                <w:sz w:val="24"/>
                <w:szCs w:val="28"/>
                <w:lang w:val="en-US" w:eastAsia="zh-CN"/>
              </w:rPr>
              <w:t>（考核内容涉及银行性质、历史遗留问题等特殊原因的银行赋平均分）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2" w:hRule="atLeast"/>
          <w:jc w:val="center"/>
        </w:trPr>
        <w:tc>
          <w:tcPr>
            <w:tcW w:w="779" w:type="dxa"/>
            <w:vMerge w:val="continue"/>
            <w:shd w:val="clear" w:color="auto" w:fill="auto"/>
            <w:noWrap w:val="0"/>
            <w:vAlign w:val="center"/>
          </w:tcPr>
          <w:p>
            <w:pPr>
              <w:widowControl/>
              <w:spacing w:line="360" w:lineRule="exact"/>
              <w:jc w:val="both"/>
              <w:rPr>
                <w:lang w:val="en-US" w:eastAsia="zh-CN"/>
              </w:rPr>
            </w:pPr>
          </w:p>
        </w:tc>
        <w:tc>
          <w:tcPr>
            <w:tcW w:w="1605" w:type="dxa"/>
            <w:vMerge w:val="continue"/>
            <w:shd w:val="clear" w:color="auto" w:fill="auto"/>
            <w:noWrap w:val="0"/>
            <w:vAlign w:val="center"/>
          </w:tcPr>
          <w:p>
            <w:pPr>
              <w:widowControl/>
              <w:spacing w:line="360" w:lineRule="exact"/>
              <w:jc w:val="both"/>
              <w:rPr>
                <w:lang w:val="en-US" w:eastAsia="zh-CN"/>
              </w:rPr>
            </w:pPr>
          </w:p>
        </w:tc>
        <w:tc>
          <w:tcPr>
            <w:tcW w:w="2325" w:type="dxa"/>
            <w:shd w:val="clear" w:color="auto" w:fill="auto"/>
            <w:noWrap w:val="0"/>
            <w:vAlign w:val="center"/>
          </w:tcPr>
          <w:p>
            <w:pPr>
              <w:widowControl/>
              <w:spacing w:line="360" w:lineRule="exact"/>
              <w:jc w:val="center"/>
              <w:rPr>
                <w:lang w:val="en-US" w:eastAsia="zh-CN"/>
              </w:rPr>
            </w:pPr>
            <w:r>
              <w:rPr>
                <w:rFonts w:eastAsia="仿宋_GB2312"/>
                <w:sz w:val="24"/>
                <w:lang w:val="en-US" w:eastAsia="zh-CN"/>
              </w:rPr>
              <w:t>转贷通（2分）</w:t>
            </w:r>
          </w:p>
        </w:tc>
        <w:tc>
          <w:tcPr>
            <w:tcW w:w="10116" w:type="dxa"/>
            <w:shd w:val="clear" w:color="auto" w:fill="auto"/>
            <w:noWrap w:val="0"/>
            <w:vAlign w:val="center"/>
          </w:tcPr>
          <w:p>
            <w:pPr>
              <w:widowControl/>
              <w:spacing w:line="360" w:lineRule="exact"/>
              <w:jc w:val="both"/>
              <w:rPr>
                <w:rFonts w:eastAsia="仿宋_GB2312"/>
                <w:sz w:val="24"/>
                <w:szCs w:val="28"/>
                <w:lang w:val="en-US" w:eastAsia="zh-CN"/>
              </w:rPr>
            </w:pPr>
            <w:r>
              <w:rPr>
                <w:rFonts w:eastAsia="仿宋_GB2312"/>
                <w:sz w:val="24"/>
                <w:lang w:val="en-US" w:eastAsia="zh-CN"/>
              </w:rPr>
              <w:t>承办、参与</w:t>
            </w:r>
            <w:r>
              <w:rPr>
                <w:rFonts w:hint="eastAsia" w:ascii="仿宋_GB2312" w:hAnsi="仿宋_GB2312" w:eastAsia="仿宋_GB2312" w:cs="仿宋_GB2312"/>
                <w:sz w:val="24"/>
                <w:lang w:val="en-US" w:eastAsia="zh-CN"/>
              </w:rPr>
              <w:t>“转贷通”业务的</w:t>
            </w:r>
            <w:r>
              <w:rPr>
                <w:rFonts w:eastAsia="仿宋_GB2312"/>
                <w:sz w:val="24"/>
                <w:lang w:val="en-US" w:eastAsia="zh-CN"/>
              </w:rPr>
              <w:t>银行机构加2分。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2" w:hRule="atLeast"/>
          <w:jc w:val="center"/>
        </w:trPr>
        <w:tc>
          <w:tcPr>
            <w:tcW w:w="779"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7</w:t>
            </w:r>
          </w:p>
        </w:tc>
        <w:tc>
          <w:tcPr>
            <w:tcW w:w="1605"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信息数据</w:t>
            </w:r>
          </w:p>
          <w:p>
            <w:pPr>
              <w:widowControl/>
              <w:spacing w:line="360" w:lineRule="exact"/>
              <w:jc w:val="center"/>
              <w:rPr>
                <w:rFonts w:eastAsia="仿宋_GB2312"/>
                <w:sz w:val="24"/>
                <w:lang w:val="en-US" w:eastAsia="zh-CN"/>
              </w:rPr>
            </w:pPr>
            <w:r>
              <w:rPr>
                <w:rFonts w:eastAsia="仿宋_GB2312"/>
                <w:color w:val="000000"/>
                <w:sz w:val="24"/>
                <w:lang w:val="en-US" w:eastAsia="zh-CN"/>
              </w:rPr>
              <w:t>（5分）</w:t>
            </w: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信息报送</w:t>
            </w:r>
            <w:r>
              <w:rPr>
                <w:rFonts w:eastAsia="仿宋_GB2312"/>
                <w:color w:val="000000"/>
                <w:sz w:val="24"/>
                <w:lang w:val="en-US" w:eastAsia="zh-CN"/>
              </w:rPr>
              <w:t>（3分）</w:t>
            </w:r>
          </w:p>
        </w:tc>
        <w:tc>
          <w:tcPr>
            <w:tcW w:w="10116" w:type="dxa"/>
            <w:shd w:val="clear" w:color="auto" w:fill="auto"/>
            <w:noWrap w:val="0"/>
            <w:vAlign w:val="center"/>
          </w:tcPr>
          <w:p>
            <w:pPr>
              <w:widowControl/>
              <w:spacing w:line="360" w:lineRule="exact"/>
              <w:jc w:val="both"/>
              <w:rPr>
                <w:rFonts w:eastAsia="仿宋_GB2312"/>
                <w:sz w:val="24"/>
                <w:szCs w:val="28"/>
                <w:lang w:val="en-US" w:eastAsia="zh-CN"/>
              </w:rPr>
            </w:pPr>
            <w:r>
              <w:rPr>
                <w:rFonts w:eastAsia="仿宋_GB2312"/>
                <w:sz w:val="24"/>
                <w:szCs w:val="28"/>
                <w:lang w:val="en-US" w:eastAsia="zh-CN"/>
              </w:rPr>
              <w:t>每月报送1篇动态信息，每季报送1篇深度信息，按时完成约稿的，得基准分2分，未完成的扣0.2分</w:t>
            </w:r>
            <w:r>
              <w:rPr>
                <w:rFonts w:hint="eastAsia" w:ascii="仿宋_GB2312" w:hAnsi="仿宋_GB2312" w:eastAsia="仿宋_GB2312" w:cs="仿宋_GB2312"/>
                <w:sz w:val="24"/>
                <w:szCs w:val="28"/>
                <w:lang w:val="en-US" w:eastAsia="zh-CN"/>
              </w:rPr>
              <w:t>/</w:t>
            </w:r>
            <w:r>
              <w:rPr>
                <w:rFonts w:eastAsia="仿宋_GB2312"/>
                <w:sz w:val="24"/>
                <w:szCs w:val="28"/>
                <w:lang w:val="en-US" w:eastAsia="zh-CN"/>
              </w:rPr>
              <w:t>次，扣完为止；信息被金融办采用，加0.1</w:t>
            </w:r>
            <w:r>
              <w:rPr>
                <w:rFonts w:hint="eastAsia" w:ascii="仿宋_GB2312" w:hAnsi="仿宋_GB2312" w:eastAsia="仿宋_GB2312" w:cs="仿宋_GB2312"/>
                <w:sz w:val="24"/>
                <w:szCs w:val="28"/>
                <w:lang w:val="en-US" w:eastAsia="zh-CN"/>
              </w:rPr>
              <w:t>分/</w:t>
            </w:r>
            <w:r>
              <w:rPr>
                <w:rFonts w:eastAsia="仿宋_GB2312"/>
                <w:sz w:val="24"/>
                <w:szCs w:val="28"/>
                <w:lang w:val="en-US" w:eastAsia="zh-CN"/>
              </w:rPr>
              <w:t>次，被两办或上级采用，加0.3分</w:t>
            </w:r>
            <w:r>
              <w:rPr>
                <w:rFonts w:hint="eastAsia" w:ascii="仿宋_GB2312" w:hAnsi="仿宋_GB2312" w:eastAsia="仿宋_GB2312" w:cs="仿宋_GB2312"/>
                <w:sz w:val="24"/>
                <w:szCs w:val="28"/>
                <w:lang w:val="en-US" w:eastAsia="zh-CN"/>
              </w:rPr>
              <w:t>/</w:t>
            </w:r>
            <w:r>
              <w:rPr>
                <w:rFonts w:eastAsia="仿宋_GB2312"/>
                <w:sz w:val="24"/>
                <w:szCs w:val="28"/>
                <w:lang w:val="en-US" w:eastAsia="zh-CN"/>
              </w:rPr>
              <w:t>次，最高加1分。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2" w:hRule="atLeast"/>
          <w:jc w:val="center"/>
        </w:trPr>
        <w:tc>
          <w:tcPr>
            <w:tcW w:w="779" w:type="dxa"/>
            <w:vMerge w:val="continue"/>
            <w:shd w:val="clear" w:color="auto" w:fill="auto"/>
            <w:noWrap w:val="0"/>
            <w:vAlign w:val="center"/>
          </w:tcPr>
          <w:p>
            <w:pPr>
              <w:widowControl/>
              <w:spacing w:line="360" w:lineRule="exact"/>
              <w:jc w:val="center"/>
              <w:rPr>
                <w:lang w:val="en-US" w:eastAsia="zh-CN"/>
              </w:rPr>
            </w:pPr>
          </w:p>
        </w:tc>
        <w:tc>
          <w:tcPr>
            <w:tcW w:w="1605" w:type="dxa"/>
            <w:vMerge w:val="continue"/>
            <w:shd w:val="clear" w:color="auto" w:fill="auto"/>
            <w:noWrap w:val="0"/>
            <w:vAlign w:val="center"/>
          </w:tcPr>
          <w:p>
            <w:pPr>
              <w:widowControl/>
              <w:spacing w:line="360" w:lineRule="exact"/>
              <w:jc w:val="center"/>
              <w:rPr>
                <w:lang w:val="en-US" w:eastAsia="zh-CN"/>
              </w:rPr>
            </w:pP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数据报送（2分）</w:t>
            </w:r>
          </w:p>
        </w:tc>
        <w:tc>
          <w:tcPr>
            <w:tcW w:w="10116" w:type="dxa"/>
            <w:shd w:val="clear" w:color="auto" w:fill="auto"/>
            <w:noWrap w:val="0"/>
            <w:vAlign w:val="center"/>
          </w:tcPr>
          <w:p>
            <w:pPr>
              <w:widowControl/>
              <w:spacing w:line="360" w:lineRule="exact"/>
              <w:jc w:val="left"/>
              <w:rPr>
                <w:rFonts w:eastAsia="仿宋_GB2312"/>
                <w:sz w:val="24"/>
                <w:lang w:val="en-US" w:eastAsia="zh-CN"/>
              </w:rPr>
            </w:pPr>
            <w:r>
              <w:rPr>
                <w:rFonts w:eastAsia="仿宋_GB2312"/>
                <w:sz w:val="24"/>
                <w:lang w:val="en-US" w:eastAsia="zh-CN"/>
              </w:rPr>
              <w:t>按时完成各项金融数据报送任务的，得2分。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779"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8</w:t>
            </w:r>
          </w:p>
        </w:tc>
        <w:tc>
          <w:tcPr>
            <w:tcW w:w="3930" w:type="dxa"/>
            <w:gridSpan w:val="2"/>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党建工作</w:t>
            </w:r>
            <w:r>
              <w:rPr>
                <w:rFonts w:eastAsia="仿宋_GB2312"/>
                <w:color w:val="000000"/>
                <w:sz w:val="24"/>
                <w:lang w:val="en-US" w:eastAsia="zh-CN"/>
              </w:rPr>
              <w:t>（5分）</w:t>
            </w:r>
          </w:p>
        </w:tc>
        <w:tc>
          <w:tcPr>
            <w:tcW w:w="10116" w:type="dxa"/>
            <w:shd w:val="clear" w:color="auto" w:fill="auto"/>
            <w:noWrap w:val="0"/>
            <w:vAlign w:val="center"/>
          </w:tcPr>
          <w:p>
            <w:pPr>
              <w:widowControl/>
              <w:spacing w:line="360" w:lineRule="exact"/>
              <w:jc w:val="both"/>
              <w:rPr>
                <w:rFonts w:eastAsia="仿宋_GB2312"/>
                <w:sz w:val="24"/>
                <w:lang w:val="en-US" w:eastAsia="zh-CN"/>
              </w:rPr>
            </w:pPr>
            <w:r>
              <w:rPr>
                <w:rFonts w:eastAsia="仿宋_GB2312"/>
                <w:sz w:val="24"/>
                <w:szCs w:val="28"/>
                <w:lang w:val="en-US" w:eastAsia="zh-CN"/>
              </w:rPr>
              <w:t>根据金融系统党建联盟工作成效和清廉金融服务工作情况进行综合赋分。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4" w:hRule="atLeast"/>
          <w:jc w:val="center"/>
        </w:trPr>
        <w:tc>
          <w:tcPr>
            <w:tcW w:w="779"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9</w:t>
            </w:r>
          </w:p>
        </w:tc>
        <w:tc>
          <w:tcPr>
            <w:tcW w:w="3930" w:type="dxa"/>
            <w:gridSpan w:val="2"/>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疫情防控</w:t>
            </w:r>
            <w:r>
              <w:rPr>
                <w:rFonts w:eastAsia="仿宋_GB2312"/>
                <w:color w:val="000000"/>
                <w:sz w:val="24"/>
                <w:lang w:val="en-US" w:eastAsia="zh-CN"/>
              </w:rPr>
              <w:t>（5分）</w:t>
            </w:r>
          </w:p>
        </w:tc>
        <w:tc>
          <w:tcPr>
            <w:tcW w:w="10116" w:type="dxa"/>
            <w:shd w:val="clear" w:color="auto" w:fill="auto"/>
            <w:noWrap w:val="0"/>
            <w:vAlign w:val="center"/>
          </w:tcPr>
          <w:p>
            <w:pPr>
              <w:widowControl/>
              <w:spacing w:line="360" w:lineRule="exact"/>
              <w:jc w:val="both"/>
              <w:rPr>
                <w:rFonts w:eastAsia="仿宋_GB2312"/>
                <w:sz w:val="24"/>
                <w:szCs w:val="28"/>
                <w:lang w:val="en-US" w:eastAsia="zh-CN"/>
              </w:rPr>
            </w:pPr>
            <w:r>
              <w:rPr>
                <w:rFonts w:eastAsia="仿宋_GB2312"/>
                <w:sz w:val="24"/>
                <w:szCs w:val="28"/>
                <w:lang w:val="en-US" w:eastAsia="zh-CN"/>
              </w:rPr>
              <w:t>根据疫情防控工作落实情况进行综合赋分。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7" w:hRule="atLeast"/>
          <w:jc w:val="center"/>
        </w:trPr>
        <w:tc>
          <w:tcPr>
            <w:tcW w:w="779"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10</w:t>
            </w:r>
          </w:p>
        </w:tc>
        <w:tc>
          <w:tcPr>
            <w:tcW w:w="1605" w:type="dxa"/>
            <w:vMerge w:val="restart"/>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lang w:val="en-US" w:eastAsia="zh-CN"/>
              </w:rPr>
              <w:t>加扣分项</w:t>
            </w:r>
          </w:p>
          <w:p>
            <w:pPr>
              <w:widowControl/>
              <w:spacing w:line="360" w:lineRule="exact"/>
              <w:jc w:val="center"/>
              <w:rPr>
                <w:rFonts w:eastAsia="仿宋_GB2312"/>
                <w:sz w:val="24"/>
                <w:lang w:val="en-US" w:eastAsia="zh-CN"/>
              </w:rPr>
            </w:pPr>
            <w:r>
              <w:rPr>
                <w:rFonts w:eastAsia="仿宋_GB2312"/>
                <w:color w:val="000000"/>
                <w:sz w:val="24"/>
                <w:lang w:val="en-US" w:eastAsia="zh-CN"/>
              </w:rPr>
              <w:t>（5分）</w:t>
            </w: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szCs w:val="28"/>
                <w:lang w:val="en-US" w:eastAsia="zh-CN"/>
              </w:rPr>
              <w:t>荣誉奖励（3分）</w:t>
            </w:r>
          </w:p>
        </w:tc>
        <w:tc>
          <w:tcPr>
            <w:tcW w:w="10116" w:type="dxa"/>
            <w:shd w:val="clear" w:color="auto" w:fill="auto"/>
            <w:noWrap w:val="0"/>
            <w:vAlign w:val="center"/>
          </w:tcPr>
          <w:p>
            <w:pPr>
              <w:widowControl/>
              <w:spacing w:line="360" w:lineRule="exact"/>
              <w:jc w:val="both"/>
              <w:rPr>
                <w:rFonts w:hint="eastAsia" w:eastAsia="仿宋_GB2312"/>
                <w:sz w:val="24"/>
                <w:szCs w:val="28"/>
                <w:lang w:val="en-US" w:eastAsia="zh-CN"/>
              </w:rPr>
            </w:pPr>
            <w:r>
              <w:rPr>
                <w:rFonts w:eastAsia="仿宋_GB2312"/>
                <w:sz w:val="24"/>
                <w:szCs w:val="28"/>
                <w:lang w:val="en-US" w:eastAsia="zh-CN"/>
              </w:rPr>
              <w:t>各银行在本年度获得义乌市级荣誉的加0.5分</w:t>
            </w:r>
            <w:r>
              <w:rPr>
                <w:rFonts w:hint="eastAsia" w:ascii="仿宋_GB2312" w:hAnsi="仿宋_GB2312" w:eastAsia="仿宋_GB2312" w:cs="仿宋_GB2312"/>
                <w:sz w:val="24"/>
                <w:szCs w:val="28"/>
                <w:lang w:val="en-US" w:eastAsia="zh-CN"/>
              </w:rPr>
              <w:t>/</w:t>
            </w:r>
            <w:r>
              <w:rPr>
                <w:rFonts w:eastAsia="仿宋_GB2312"/>
                <w:sz w:val="24"/>
                <w:szCs w:val="28"/>
                <w:lang w:val="en-US" w:eastAsia="zh-CN"/>
              </w:rPr>
              <w:t>个，获得金华市级荣誉的加1分</w:t>
            </w:r>
            <w:r>
              <w:rPr>
                <w:rFonts w:hint="eastAsia" w:ascii="仿宋_GB2312" w:hAnsi="仿宋_GB2312" w:eastAsia="仿宋_GB2312" w:cs="仿宋_GB2312"/>
                <w:sz w:val="24"/>
                <w:szCs w:val="28"/>
                <w:lang w:val="en-US" w:eastAsia="zh-CN"/>
              </w:rPr>
              <w:t>/</w:t>
            </w:r>
            <w:r>
              <w:rPr>
                <w:rFonts w:eastAsia="仿宋_GB2312"/>
                <w:sz w:val="24"/>
                <w:szCs w:val="28"/>
                <w:lang w:val="en-US" w:eastAsia="zh-CN"/>
              </w:rPr>
              <w:t>个，获得省级荣誉的加2</w:t>
            </w:r>
            <w:r>
              <w:rPr>
                <w:rFonts w:hint="eastAsia" w:ascii="仿宋_GB2312" w:hAnsi="仿宋_GB2312" w:eastAsia="仿宋_GB2312" w:cs="仿宋_GB2312"/>
                <w:sz w:val="24"/>
                <w:szCs w:val="28"/>
                <w:lang w:val="en-US" w:eastAsia="zh-CN"/>
              </w:rPr>
              <w:t>分/</w:t>
            </w:r>
            <w:r>
              <w:rPr>
                <w:rFonts w:eastAsia="仿宋_GB2312"/>
                <w:sz w:val="24"/>
                <w:szCs w:val="28"/>
                <w:lang w:val="en-US" w:eastAsia="zh-CN"/>
              </w:rPr>
              <w:t>个，获得国家级荣誉的加3</w:t>
            </w:r>
            <w:r>
              <w:rPr>
                <w:rFonts w:hint="eastAsia" w:ascii="仿宋_GB2312" w:hAnsi="仿宋_GB2312" w:eastAsia="仿宋_GB2312" w:cs="仿宋_GB2312"/>
                <w:sz w:val="24"/>
                <w:szCs w:val="28"/>
                <w:lang w:val="en-US" w:eastAsia="zh-CN"/>
              </w:rPr>
              <w:t>分/</w:t>
            </w:r>
            <w:r>
              <w:rPr>
                <w:rFonts w:eastAsia="仿宋_GB2312"/>
                <w:sz w:val="24"/>
                <w:szCs w:val="28"/>
                <w:lang w:val="en-US" w:eastAsia="zh-CN"/>
              </w:rPr>
              <w:t>个</w:t>
            </w:r>
            <w:r>
              <w:rPr>
                <w:rFonts w:hint="eastAsia" w:eastAsia="仿宋_GB2312"/>
                <w:sz w:val="24"/>
                <w:szCs w:val="28"/>
                <w:lang w:val="en-US" w:eastAsia="zh-CN"/>
              </w:rPr>
              <w:t>。</w:t>
            </w:r>
            <w:r>
              <w:rPr>
                <w:rFonts w:eastAsia="仿宋_GB2312"/>
                <w:sz w:val="24"/>
                <w:szCs w:val="28"/>
                <w:lang w:val="en-US" w:eastAsia="zh-CN"/>
              </w:rPr>
              <w:t>（以上荣誉不含本系统内荣誉）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7" w:hRule="atLeast"/>
          <w:jc w:val="center"/>
        </w:trPr>
        <w:tc>
          <w:tcPr>
            <w:tcW w:w="779" w:type="dxa"/>
            <w:vMerge w:val="continue"/>
            <w:shd w:val="clear" w:color="auto" w:fill="auto"/>
            <w:noWrap w:val="0"/>
            <w:vAlign w:val="center"/>
          </w:tcPr>
          <w:p>
            <w:pPr>
              <w:widowControl/>
              <w:spacing w:line="360" w:lineRule="exact"/>
              <w:jc w:val="center"/>
              <w:rPr>
                <w:lang w:val="en-US" w:eastAsia="zh-CN"/>
              </w:rPr>
            </w:pPr>
          </w:p>
        </w:tc>
        <w:tc>
          <w:tcPr>
            <w:tcW w:w="1605" w:type="dxa"/>
            <w:vMerge w:val="continue"/>
            <w:shd w:val="clear" w:color="auto" w:fill="auto"/>
            <w:noWrap w:val="0"/>
            <w:vAlign w:val="center"/>
          </w:tcPr>
          <w:p>
            <w:pPr>
              <w:widowControl/>
              <w:spacing w:line="360" w:lineRule="exact"/>
              <w:jc w:val="center"/>
              <w:rPr>
                <w:lang w:val="en-US" w:eastAsia="zh-CN"/>
              </w:rPr>
            </w:pPr>
          </w:p>
        </w:tc>
        <w:tc>
          <w:tcPr>
            <w:tcW w:w="2325" w:type="dxa"/>
            <w:shd w:val="clear" w:color="auto" w:fill="auto"/>
            <w:noWrap w:val="0"/>
            <w:vAlign w:val="center"/>
          </w:tcPr>
          <w:p>
            <w:pPr>
              <w:widowControl/>
              <w:spacing w:line="360" w:lineRule="exact"/>
              <w:jc w:val="center"/>
              <w:rPr>
                <w:rFonts w:eastAsia="仿宋_GB2312"/>
                <w:sz w:val="24"/>
                <w:lang w:val="en-US" w:eastAsia="zh-CN"/>
              </w:rPr>
            </w:pPr>
            <w:r>
              <w:rPr>
                <w:rFonts w:eastAsia="仿宋_GB2312"/>
                <w:sz w:val="24"/>
                <w:szCs w:val="28"/>
                <w:lang w:val="en-US" w:eastAsia="zh-CN"/>
              </w:rPr>
              <w:t>不良率（2分）</w:t>
            </w:r>
          </w:p>
        </w:tc>
        <w:tc>
          <w:tcPr>
            <w:tcW w:w="10116" w:type="dxa"/>
            <w:shd w:val="clear" w:color="auto" w:fill="auto"/>
            <w:noWrap w:val="0"/>
            <w:vAlign w:val="center"/>
          </w:tcPr>
          <w:p>
            <w:pPr>
              <w:widowControl/>
              <w:spacing w:line="360" w:lineRule="exact"/>
              <w:jc w:val="left"/>
              <w:rPr>
                <w:rFonts w:eastAsia="仿宋_GB2312"/>
                <w:sz w:val="24"/>
                <w:lang w:val="en-US" w:eastAsia="zh-CN"/>
              </w:rPr>
            </w:pPr>
            <w:r>
              <w:rPr>
                <w:rFonts w:eastAsia="仿宋_GB2312"/>
                <w:sz w:val="24"/>
                <w:szCs w:val="28"/>
                <w:lang w:val="en-US" w:eastAsia="zh-CN"/>
              </w:rPr>
              <w:t>对年末不良率高于1.5%的银行每高0.1个百分点扣0.2分。</w:t>
            </w:r>
          </w:p>
        </w:tc>
      </w:tr>
      <w:bookmarkEnd w:id="0"/>
    </w:tbl>
    <w:p>
      <w:pPr>
        <w:spacing w:line="700" w:lineRule="exact"/>
        <w:jc w:val="center"/>
        <w:rPr>
          <w:rFonts w:eastAsia="方正小标宋简体"/>
          <w:color w:val="000000"/>
          <w:spacing w:val="20"/>
          <w:sz w:val="44"/>
          <w:szCs w:val="44"/>
          <w:lang w:val="en-US" w:eastAsia="zh-CN"/>
        </w:rPr>
      </w:pPr>
    </w:p>
    <w:p>
      <w:r>
        <w:rPr>
          <w:rFonts w:hint="eastAsia" w:eastAsia="仿宋_GB2312"/>
          <w:spacing w:val="-6"/>
          <w:sz w:val="28"/>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62396CA2"/>
    <w:rsid w:val="6239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2022-12-09T01:24:00Z</dcterms:created>
  <dc:creator>龚秀娟</dc:creator>
  <cp:lastModifiedBy>龚秀娟</cp:lastModifiedBy>
  <dcterms:modified xsi:type="dcterms:W3CDTF">2022-12-09T01:25:15Z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5255F1E8CBD14D4B84125279623A89AC</vt:lpwstr>
  </property>
</Properties>
</file>