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margin" w:tblpXSpec="center" w:tblpY="10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222"/>
        <w:gridCol w:w="27"/>
        <w:gridCol w:w="3019"/>
        <w:gridCol w:w="27"/>
        <w:gridCol w:w="2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类别</w:t>
            </w:r>
          </w:p>
        </w:tc>
        <w:tc>
          <w:tcPr>
            <w:tcW w:w="2222" w:type="dxa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一类标准地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二类标准地</w:t>
            </w:r>
          </w:p>
        </w:tc>
        <w:tc>
          <w:tcPr>
            <w:tcW w:w="235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三类标准地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投入产出</w:t>
            </w:r>
          </w:p>
        </w:tc>
        <w:tc>
          <w:tcPr>
            <w:tcW w:w="76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见附件2</w:t>
            </w: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设施装备</w:t>
            </w:r>
          </w:p>
        </w:tc>
        <w:tc>
          <w:tcPr>
            <w:tcW w:w="224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粮食生产耕种收综合机械化水平达到95%以上。</w:t>
            </w:r>
          </w:p>
        </w:tc>
        <w:tc>
          <w:tcPr>
            <w:tcW w:w="304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粮食生产耕种收综合机械化水平达到90%以上或设施种植面积占比达80%以上。</w:t>
            </w:r>
          </w:p>
        </w:tc>
        <w:tc>
          <w:tcPr>
            <w:tcW w:w="2331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粮食生产耕种收综合机械化水平达到80%以上或设施种植面积占比达60%以上。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生态环保</w:t>
            </w:r>
          </w:p>
        </w:tc>
        <w:tc>
          <w:tcPr>
            <w:tcW w:w="76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全程实行标准化生产；质量追溯体系完整。</w:t>
            </w:r>
          </w:p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农作物秸秆综合利用率达95%以上；测土配方施肥覆盖率达95%以上；农业废弃包装物统一回收和集中处理率达100%。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pacing w:val="-6"/>
                <w:sz w:val="28"/>
                <w:szCs w:val="28"/>
                <w:lang w:bidi="ar"/>
              </w:rPr>
              <w:t>农业能源消耗、农机排放符合环保相关规范。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规模年限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6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粮食50亩以上；蔬菜20亩以上；水果、苗木等经济作物20亩以上。流转期限5年以上。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902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</w:rPr>
              <w:t>带动效益</w:t>
            </w:r>
          </w:p>
        </w:tc>
        <w:tc>
          <w:tcPr>
            <w:tcW w:w="762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8"/>
                <w:szCs w:val="28"/>
              </w:rPr>
              <w:t>每百亩带动农户10户以上；与村集体经济发展建立联结机制，每百亩带动村集体收入1万元以上。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pacing w:val="20"/>
          <w:sz w:val="44"/>
          <w:szCs w:val="44"/>
        </w:rPr>
        <w:t>农业标准地控制性指标</w:t>
      </w:r>
    </w:p>
    <w:bookmarkEnd w:id="0"/>
    <w:p>
      <w:pPr>
        <w:pStyle w:val="2"/>
        <w:rPr>
          <w:rFonts w:hint="default"/>
          <w:color w:val="auto"/>
        </w:rPr>
      </w:pPr>
    </w:p>
    <w:p>
      <w:pPr>
        <w:spacing w:line="590" w:lineRule="exact"/>
        <w:ind w:firstLine="536" w:firstLineChars="200"/>
        <w:rPr>
          <w:rFonts w:hint="eastAsia" w:eastAsia="仿宋_GB2312"/>
          <w:color w:val="auto"/>
          <w:spacing w:val="-6"/>
          <w:sz w:val="28"/>
          <w:szCs w:val="32"/>
        </w:rPr>
      </w:pP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22AB2C71"/>
    <w:rsid w:val="22AB2C71"/>
    <w:rsid w:val="6D9A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tabs>
        <w:tab w:val="left" w:pos="3380"/>
      </w:tabs>
      <w:spacing w:after="0"/>
      <w:ind w:firstLine="420" w:firstLineChars="100"/>
      <w:jc w:val="center"/>
    </w:pPr>
    <w:rPr>
      <w:b/>
      <w:bCs/>
      <w:spacing w:val="-20"/>
      <w:sz w:val="36"/>
    </w:rPr>
  </w:style>
  <w:style w:type="paragraph" w:styleId="3">
    <w:name w:val="Body Text"/>
    <w:basedOn w:val="1"/>
    <w:next w:val="4"/>
    <w:qFormat/>
    <w:uiPriority w:val="0"/>
    <w:pPr>
      <w:spacing w:line="590" w:lineRule="exact"/>
    </w:pPr>
    <w:rPr>
      <w:rFonts w:eastAsia="仿宋_GB2312"/>
      <w:spacing w:val="-6"/>
      <w:sz w:val="32"/>
      <w:szCs w:val="20"/>
    </w:rPr>
  </w:style>
  <w:style w:type="paragraph" w:styleId="4">
    <w:name w:val="toc 5"/>
    <w:basedOn w:val="1"/>
    <w:next w:val="1"/>
    <w:qFormat/>
    <w:uiPriority w:val="0"/>
    <w:pPr>
      <w:ind w:left="1680" w:leftChars="800"/>
    </w:pPr>
  </w:style>
  <w:style w:type="paragraph" w:styleId="5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2023-09-28T06:25:00Z</dcterms:created>
  <dc:creator>龚秀娟</dc:creator>
  <cp:lastModifiedBy>龚秀娟</cp:lastModifiedBy>
  <dcterms:modified xsi:type="dcterms:W3CDTF">2023-09-28T06:26:27Z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530D572F3E904B3FA25D61763C176673_13</vt:lpwstr>
  </property>
</Properties>
</file>