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rPr>
        <w:pict>
          <v:shape id="_x0000_i1025" o:spt="75" alt="QQ截图20200611093549" type="#_x0000_t75" style="height:49.5pt;width:467.2pt;" filled="f" o:preferrelative="t" stroked="f" coordsize="21600,21600">
            <v:path/>
            <v:fill on="f" focussize="0,0"/>
            <v:stroke on="f" joinstyle="miter"/>
            <v:imagedata r:id="rId10" o:title="QQ截图20200611093549"/>
            <o:lock v:ext="edit" aspectratio="t"/>
            <w10:wrap type="none"/>
            <w10:anchorlock/>
          </v:shape>
        </w:pict>
      </w:r>
    </w:p>
    <w:p>
      <w:pPr>
        <w:jc w:val="center"/>
        <w:rPr>
          <w:rFonts w:hint="eastAsia"/>
        </w:rPr>
      </w:pPr>
    </w:p>
    <w:p>
      <w:pPr>
        <w:spacing w:line="560" w:lineRule="exact"/>
        <w:jc w:val="center"/>
        <w:rPr>
          <w:rFonts w:ascii="方正小标宋简体" w:eastAsia="方正小标宋简体"/>
          <w:color w:val="000000"/>
          <w:w w:val="95"/>
          <w:sz w:val="44"/>
          <w:szCs w:val="44"/>
        </w:rPr>
      </w:pPr>
      <w:r>
        <w:rPr>
          <w:rFonts w:hint="eastAsia" w:ascii="方正小标宋简体" w:hAnsi="方正小标宋简体" w:eastAsia="方正小标宋简体"/>
          <w:color w:val="000000"/>
          <w:w w:val="95"/>
          <w:sz w:val="44"/>
          <w:szCs w:val="44"/>
        </w:rPr>
        <w:t>关于做好事业单位改革</w:t>
      </w:r>
      <w:r>
        <w:rPr>
          <w:rFonts w:hint="eastAsia" w:ascii="方正小标宋简体" w:eastAsia="方正小标宋简体"/>
          <w:color w:val="000000"/>
          <w:w w:val="95"/>
          <w:sz w:val="44"/>
          <w:szCs w:val="44"/>
        </w:rPr>
        <w:t>“</w:t>
      </w:r>
      <w:r>
        <w:rPr>
          <w:rFonts w:hint="eastAsia" w:ascii="方正小标宋简体" w:hAnsi="方正小标宋简体" w:eastAsia="方正小标宋简体"/>
          <w:color w:val="000000"/>
          <w:w w:val="95"/>
          <w:sz w:val="44"/>
          <w:szCs w:val="44"/>
        </w:rPr>
        <w:t>后半篇</w:t>
      </w:r>
      <w:r>
        <w:rPr>
          <w:rFonts w:hint="eastAsia" w:ascii="方正小标宋简体" w:eastAsia="方正小标宋简体"/>
          <w:color w:val="000000"/>
          <w:w w:val="95"/>
          <w:sz w:val="44"/>
          <w:szCs w:val="44"/>
        </w:rPr>
        <w:t>”</w:t>
      </w:r>
      <w:r>
        <w:rPr>
          <w:rFonts w:hint="eastAsia" w:ascii="方正小标宋简体" w:hAnsi="方正小标宋简体" w:eastAsia="方正小标宋简体"/>
          <w:color w:val="000000"/>
          <w:w w:val="95"/>
          <w:sz w:val="44"/>
          <w:szCs w:val="44"/>
        </w:rPr>
        <w:t>文章的通知</w:t>
      </w:r>
    </w:p>
    <w:p>
      <w:pPr>
        <w:spacing w:line="560" w:lineRule="exact"/>
        <w:ind w:firstLine="600" w:firstLineChars="200"/>
        <w:rPr>
          <w:color w:val="000000"/>
          <w:w w:val="95"/>
          <w:szCs w:val="32"/>
        </w:rPr>
      </w:pPr>
    </w:p>
    <w:p>
      <w:pPr>
        <w:spacing w:line="560" w:lineRule="exact"/>
        <w:rPr>
          <w:rFonts w:ascii="仿宋_GB2312" w:hAnsi="仿宋_GB2312" w:eastAsia="仿宋_GB2312" w:cs="仿宋_GB2312"/>
          <w:color w:val="000000"/>
          <w:szCs w:val="32"/>
        </w:rPr>
      </w:pPr>
      <w:bookmarkStart w:id="0" w:name="_GoBack"/>
      <w:r>
        <w:rPr>
          <w:rFonts w:hint="eastAsia" w:ascii="仿宋_GB2312" w:hAnsi="仿宋_GB2312" w:eastAsia="仿宋_GB2312" w:cs="仿宋_GB2312"/>
          <w:color w:val="000000"/>
          <w:szCs w:val="32"/>
        </w:rPr>
        <w:t>各相关单位：</w:t>
      </w:r>
    </w:p>
    <w:p>
      <w:pPr>
        <w:spacing w:line="56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为认真落实省委、市委关于做好事业单位改革“后半篇”文章的部署，确保改革任务落地见效，巩固和扩大事业单位改革成果，现将有关事项通知如下：</w:t>
      </w:r>
    </w:p>
    <w:p>
      <w:pPr>
        <w:spacing w:line="560" w:lineRule="exact"/>
        <w:ind w:firstLine="632" w:firstLineChars="200"/>
        <w:rPr>
          <w:rFonts w:eastAsia="黑体"/>
          <w:color w:val="000000"/>
          <w:szCs w:val="32"/>
        </w:rPr>
      </w:pPr>
      <w:r>
        <w:rPr>
          <w:rFonts w:hAnsi="黑体" w:eastAsia="黑体"/>
          <w:color w:val="000000"/>
          <w:szCs w:val="32"/>
        </w:rPr>
        <w:t>一、明确目标任务</w:t>
      </w:r>
    </w:p>
    <w:p>
      <w:pPr>
        <w:spacing w:line="56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持续推动改革从“物理变化”向“化学反应”转变，提升事业单位服务能力和水平；持续推动“铁饭碗”向“重绩效”转变，激发事业单位人员活力。公益类事业单位新“三定”或机构编制规定组织实施到位。进一步理顺面向社会提供公益服务类事业单位的政事管办关系，完善事业单位章程管理，强化公益属性，提高治理效能。</w:t>
      </w:r>
    </w:p>
    <w:p>
      <w:pPr>
        <w:spacing w:line="560" w:lineRule="exact"/>
        <w:ind w:firstLine="632" w:firstLineChars="200"/>
        <w:rPr>
          <w:color w:val="000000"/>
          <w:szCs w:val="32"/>
        </w:rPr>
      </w:pPr>
      <w:r>
        <w:rPr>
          <w:rFonts w:hAnsi="黑体" w:eastAsia="黑体"/>
          <w:color w:val="000000"/>
          <w:szCs w:val="32"/>
        </w:rPr>
        <w:t>二、落实工作措施</w:t>
      </w:r>
    </w:p>
    <w:p>
      <w:pPr>
        <w:spacing w:line="560" w:lineRule="exact"/>
        <w:ind w:firstLine="632" w:firstLineChars="200"/>
        <w:rPr>
          <w:color w:val="000000"/>
          <w:szCs w:val="32"/>
        </w:rPr>
      </w:pPr>
      <w:r>
        <w:rPr>
          <w:rFonts w:hAnsi="楷体_GB2312" w:eastAsia="楷体_GB2312"/>
          <w:color w:val="000000"/>
          <w:szCs w:val="32"/>
        </w:rPr>
        <w:t>（一）</w:t>
      </w:r>
      <w:r>
        <w:rPr>
          <w:rFonts w:hint="eastAsia" w:hAnsi="楷体_GB2312" w:eastAsia="楷体_GB2312"/>
          <w:color w:val="000000"/>
          <w:szCs w:val="32"/>
        </w:rPr>
        <w:t>开展自查活动。</w:t>
      </w:r>
      <w:r>
        <w:rPr>
          <w:rFonts w:hint="eastAsia" w:ascii="仿宋_GB2312" w:hAnsi="仿宋_GB2312" w:eastAsia="仿宋_GB2312" w:cs="仿宋_GB2312"/>
          <w:color w:val="000000"/>
          <w:szCs w:val="32"/>
        </w:rPr>
        <w:t>各主管部门要对照公益类事业单位新“三定”或机构编制规定对下属事业单位组织实施情况进行自查，跟踪进展情况，聚焦存在问题，落实工作措施。8月21日前完成自查工作，并向市委编办报送事业单位改革“后半篇”文章落实表（附件1加盖公章，PDF格式）。重点报送机构挂牌调整、人员转隶、领导班子配备、事业单位法人登记、实名制数据库更新等，市委编办将通过实名制系统和事业单位登记管理系统进行核查。</w:t>
      </w:r>
    </w:p>
    <w:p>
      <w:pPr>
        <w:spacing w:line="560" w:lineRule="exact"/>
        <w:ind w:firstLine="632" w:firstLineChars="200"/>
        <w:rPr>
          <w:rFonts w:ascii="仿宋_GB2312" w:hAnsi="仿宋_GB2312" w:eastAsia="仿宋_GB2312" w:cs="仿宋_GB2312"/>
          <w:szCs w:val="32"/>
        </w:rPr>
      </w:pPr>
      <w:r>
        <w:rPr>
          <w:rFonts w:hAnsi="楷体_GB2312" w:eastAsia="楷体_GB2312"/>
          <w:color w:val="000000"/>
          <w:szCs w:val="32"/>
        </w:rPr>
        <w:t>（二）开展</w:t>
      </w:r>
      <w:r>
        <w:rPr>
          <w:rFonts w:hint="eastAsia" w:hAnsi="楷体_GB2312" w:eastAsia="楷体_GB2312"/>
          <w:color w:val="000000"/>
          <w:szCs w:val="32"/>
        </w:rPr>
        <w:t>抽查</w:t>
      </w:r>
      <w:r>
        <w:rPr>
          <w:rFonts w:hAnsi="楷体_GB2312" w:eastAsia="楷体_GB2312"/>
          <w:color w:val="000000"/>
          <w:szCs w:val="32"/>
        </w:rPr>
        <w:t>和暗访。</w:t>
      </w:r>
      <w:r>
        <w:rPr>
          <w:rFonts w:hint="eastAsia" w:ascii="仿宋_GB2312" w:hAnsi="仿宋_GB2312" w:eastAsia="仿宋_GB2312" w:cs="仿宋_GB2312"/>
          <w:color w:val="000000"/>
          <w:szCs w:val="32"/>
        </w:rPr>
        <w:t>在各部门（单位）自查的基础上，从8月23日开始，市委编办将组织力量通过暗访、非现场核查、抽查等方式</w:t>
      </w:r>
      <w:r>
        <w:rPr>
          <w:rFonts w:hint="eastAsia" w:ascii="仿宋_GB2312" w:hAnsi="仿宋_GB2312" w:eastAsia="仿宋_GB2312" w:cs="仿宋_GB2312"/>
          <w:szCs w:val="32"/>
        </w:rPr>
        <w:t>开展事业单位机构运行和履职情况评估，查摆问题，督促整改。8月底前未完成机构挂牌调整、人员转隶、领导班子配备、事业单位法人登记、实名制数据库更新，暂停办理本年度相关机构编制事项。</w:t>
      </w:r>
    </w:p>
    <w:p>
      <w:pPr>
        <w:spacing w:line="560" w:lineRule="exact"/>
        <w:ind w:firstLine="632" w:firstLineChars="200"/>
        <w:rPr>
          <w:rFonts w:ascii="仿宋_GB2312"/>
          <w:color w:val="000000"/>
          <w:szCs w:val="32"/>
        </w:rPr>
      </w:pPr>
      <w:r>
        <w:rPr>
          <w:rFonts w:hAnsi="楷体_GB2312" w:eastAsia="楷体_GB2312"/>
          <w:color w:val="000000"/>
          <w:szCs w:val="32"/>
        </w:rPr>
        <w:t>（</w:t>
      </w:r>
      <w:r>
        <w:rPr>
          <w:rFonts w:hint="eastAsia" w:hAnsi="楷体_GB2312" w:eastAsia="楷体_GB2312"/>
          <w:color w:val="000000"/>
          <w:szCs w:val="32"/>
        </w:rPr>
        <w:t>三</w:t>
      </w:r>
      <w:r>
        <w:rPr>
          <w:rFonts w:hAnsi="楷体_GB2312" w:eastAsia="楷体_GB2312"/>
          <w:color w:val="000000"/>
          <w:szCs w:val="32"/>
        </w:rPr>
        <w:t>）完善从严审批工作机制。</w:t>
      </w:r>
      <w:r>
        <w:rPr>
          <w:rFonts w:hint="eastAsia" w:ascii="仿宋_GB2312" w:hAnsi="仿宋_GB2312" w:eastAsia="仿宋_GB2312" w:cs="仿宋_GB2312"/>
          <w:color w:val="000000"/>
          <w:szCs w:val="32"/>
        </w:rPr>
        <w:t>进一步强化机构编制刚性约束，严控新设机构，严控编制增量，紧紧把住关口，为加强重点领域、重大工作、重要民生预留充足的编制资源。</w:t>
      </w:r>
    </w:p>
    <w:p>
      <w:pPr>
        <w:spacing w:line="560" w:lineRule="exact"/>
        <w:ind w:firstLine="632" w:firstLineChars="200"/>
        <w:rPr>
          <w:rFonts w:eastAsia="黑体"/>
          <w:color w:val="000000"/>
          <w:szCs w:val="32"/>
        </w:rPr>
      </w:pPr>
      <w:r>
        <w:rPr>
          <w:rFonts w:hAnsi="黑体" w:eastAsia="黑体"/>
          <w:color w:val="000000"/>
          <w:szCs w:val="32"/>
        </w:rPr>
        <w:t>三、精心组织实施</w:t>
      </w:r>
    </w:p>
    <w:p>
      <w:pPr>
        <w:spacing w:line="560" w:lineRule="exact"/>
        <w:ind w:firstLine="632" w:firstLineChars="200"/>
        <w:rPr>
          <w:rFonts w:ascii="仿宋_GB2312" w:hAnsi="仿宋_GB2312" w:eastAsia="仿宋_GB2312" w:cs="仿宋_GB2312"/>
          <w:color w:val="000000"/>
          <w:szCs w:val="32"/>
        </w:rPr>
      </w:pPr>
      <w:r>
        <w:rPr>
          <w:rFonts w:hAnsi="楷体_GB2312" w:eastAsia="楷体_GB2312"/>
          <w:color w:val="000000"/>
          <w:szCs w:val="32"/>
        </w:rPr>
        <w:t>（一）提高思想认识。</w:t>
      </w:r>
      <w:r>
        <w:rPr>
          <w:rFonts w:hint="eastAsia" w:ascii="仿宋_GB2312" w:hAnsi="仿宋_GB2312" w:eastAsia="仿宋_GB2312" w:cs="仿宋_GB2312"/>
          <w:color w:val="000000"/>
          <w:szCs w:val="32"/>
        </w:rPr>
        <w:t>各部门（单位）要认真贯彻中央关于深化事业单位改革试点工作指导意见和省委十四届七次全会精神，强化一盘棋意识，扛起大责任，展示新担当，切实把省委、市委关于做好事业单位改革“后半篇”文章的部署落实到位，为建设“重要窗口”作出积极贡献。</w:t>
      </w:r>
    </w:p>
    <w:p>
      <w:pPr>
        <w:spacing w:line="560" w:lineRule="exact"/>
        <w:ind w:firstLine="632" w:firstLineChars="200"/>
        <w:rPr>
          <w:rFonts w:ascii="仿宋_GB2312" w:hAnsi="仿宋_GB2312" w:eastAsia="仿宋_GB2312" w:cs="仿宋_GB2312"/>
          <w:color w:val="000000"/>
          <w:szCs w:val="32"/>
        </w:rPr>
      </w:pPr>
      <w:r>
        <w:rPr>
          <w:rFonts w:hAnsi="楷体_GB2312" w:eastAsia="楷体_GB2312"/>
          <w:color w:val="000000"/>
          <w:szCs w:val="32"/>
        </w:rPr>
        <w:t>（二）确保平静安静。</w:t>
      </w:r>
      <w:r>
        <w:rPr>
          <w:rFonts w:hint="eastAsia" w:ascii="仿宋_GB2312" w:hAnsi="仿宋_GB2312" w:eastAsia="仿宋_GB2312" w:cs="仿宋_GB2312"/>
          <w:color w:val="000000"/>
          <w:szCs w:val="32"/>
        </w:rPr>
        <w:t>要加强组织领导，紧盯时间节点，采取有效措施，抓紧完成相关后续工作。对改革中遇到的疑难问题，及时研究解决。要做细做实思想政治工作，确保人员平稳过渡、工作无缝衔接、改革有序推进。</w:t>
      </w:r>
    </w:p>
    <w:p>
      <w:pPr>
        <w:spacing w:line="560" w:lineRule="exact"/>
        <w:ind w:firstLine="632" w:firstLineChars="200"/>
        <w:rPr>
          <w:rFonts w:ascii="仿宋_GB2312" w:hAnsi="仿宋_GB2312" w:eastAsia="仿宋_GB2312" w:cs="仿宋_GB2312"/>
          <w:color w:val="000000"/>
          <w:szCs w:val="32"/>
        </w:rPr>
      </w:pPr>
      <w:r>
        <w:rPr>
          <w:rFonts w:hAnsi="楷体_GB2312" w:eastAsia="楷体_GB2312"/>
          <w:color w:val="000000"/>
          <w:szCs w:val="32"/>
        </w:rPr>
        <w:t>（三）营造良好氛围。</w:t>
      </w:r>
      <w:r>
        <w:rPr>
          <w:rFonts w:hint="eastAsia" w:ascii="仿宋_GB2312" w:hAnsi="仿宋_GB2312" w:eastAsia="仿宋_GB2312" w:cs="仿宋_GB2312"/>
          <w:color w:val="000000"/>
          <w:szCs w:val="32"/>
        </w:rPr>
        <w:t>要认真总结改革推进过程中的好经验好做法，发挥典型示范带动作用。及时解疑释惑，做好舆论引导和政策解读工作，为事业单位改革“后半篇”文章顺利推进营造良好氛围。</w:t>
      </w:r>
    </w:p>
    <w:p>
      <w:pPr>
        <w:spacing w:line="560" w:lineRule="exact"/>
        <w:rPr>
          <w:rFonts w:ascii="仿宋_GB2312"/>
          <w:color w:val="000000"/>
          <w:szCs w:val="32"/>
        </w:rPr>
      </w:pPr>
    </w:p>
    <w:p>
      <w:pPr>
        <w:spacing w:line="56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联系方式：</w:t>
      </w:r>
    </w:p>
    <w:p>
      <w:pPr>
        <w:spacing w:line="56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1.表格报送：机构编制科85435031；</w:t>
      </w:r>
    </w:p>
    <w:p>
      <w:pPr>
        <w:spacing w:line="56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2.法人变更业务咨询：事业单位登记管理局85435032；</w:t>
      </w:r>
    </w:p>
    <w:p>
      <w:pPr>
        <w:spacing w:line="560" w:lineRule="exact"/>
        <w:ind w:firstLine="632" w:firstLineChars="200"/>
        <w:rPr>
          <w:rFonts w:ascii="仿宋_GB2312" w:hAnsi="仿宋_GB2312" w:eastAsia="仿宋_GB2312" w:cs="仿宋_GB2312"/>
          <w:color w:val="000000"/>
          <w:szCs w:val="32"/>
        </w:rPr>
      </w:pPr>
      <w:r>
        <w:rPr>
          <w:rFonts w:hint="eastAsia" w:ascii="仿宋_GB2312" w:hAnsi="仿宋_GB2312" w:eastAsia="仿宋_GB2312" w:cs="仿宋_GB2312"/>
          <w:color w:val="000000"/>
          <w:szCs w:val="32"/>
        </w:rPr>
        <w:t>3.实名制调整业务咨询：监督检查科85435032</w:t>
      </w:r>
    </w:p>
    <w:p>
      <w:pPr>
        <w:spacing w:line="560" w:lineRule="exact"/>
        <w:ind w:firstLine="632" w:firstLineChars="200"/>
        <w:rPr>
          <w:rFonts w:ascii="仿宋_GB2312" w:hAnsi="仿宋_GB2312" w:eastAsia="仿宋_GB2312" w:cs="仿宋_GB2312"/>
          <w:color w:val="000000"/>
          <w:szCs w:val="32"/>
        </w:rPr>
      </w:pPr>
    </w:p>
    <w:p>
      <w:pPr>
        <w:spacing w:line="560" w:lineRule="exact"/>
        <w:ind w:firstLine="632" w:firstLineChars="200"/>
        <w:rPr>
          <w:color w:val="000000"/>
          <w:szCs w:val="32"/>
        </w:rPr>
      </w:pPr>
      <w:r>
        <w:rPr>
          <w:rFonts w:hint="eastAsia" w:ascii="仿宋_GB2312" w:hAnsi="仿宋_GB2312" w:eastAsia="仿宋_GB2312" w:cs="仿宋_GB2312"/>
          <w:color w:val="000000"/>
          <w:szCs w:val="32"/>
        </w:rPr>
        <w:t>附件：公益类事业单位改革“后半篇”文章落实表</w:t>
      </w:r>
    </w:p>
    <w:p>
      <w:pPr>
        <w:spacing w:line="560" w:lineRule="exact"/>
        <w:ind w:right="230" w:rightChars="73" w:firstLine="632" w:firstLineChars="200"/>
        <w:jc w:val="right"/>
      </w:pPr>
    </w:p>
    <w:p>
      <w:pPr>
        <w:spacing w:line="560" w:lineRule="exact"/>
        <w:ind w:right="230" w:rightChars="73" w:firstLine="632" w:firstLineChars="200"/>
        <w:jc w:val="right"/>
      </w:pPr>
    </w:p>
    <w:p>
      <w:pPr>
        <w:spacing w:line="560" w:lineRule="exact"/>
        <w:ind w:right="230" w:rightChars="73"/>
      </w:pPr>
    </w:p>
    <w:p>
      <w:pPr>
        <w:spacing w:line="560" w:lineRule="exact"/>
        <w:ind w:right="230" w:rightChars="73" w:firstLine="632" w:firstLineChars="200"/>
        <w:jc w:val="right"/>
        <w:rPr>
          <w:rFonts w:ascii="仿宋_GB2312" w:hAnsi="仿宋_GB2312" w:eastAsia="仿宋_GB2312" w:cs="仿宋_GB2312"/>
          <w:kern w:val="0"/>
          <w:szCs w:val="32"/>
        </w:rPr>
      </w:pPr>
      <w:r>
        <w:rPr>
          <w:rFonts w:hint="eastAsia" w:ascii="仿宋_GB2312" w:hAnsi="仿宋_GB2312" w:eastAsia="仿宋_GB2312" w:cs="仿宋_GB2312"/>
        </w:rPr>
        <w:t>中共义乌市委机构编制委员会办公室</w:t>
      </w:r>
    </w:p>
    <w:p>
      <w:pPr>
        <w:spacing w:line="560" w:lineRule="exact"/>
        <w:ind w:right="1264" w:rightChars="400" w:firstLine="632" w:firstLineChars="200"/>
        <w:jc w:val="right"/>
        <w:rPr>
          <w:rFonts w:ascii="仿宋_GB2312" w:hAnsi="仿宋_GB2312" w:eastAsia="仿宋_GB2312" w:cs="仿宋_GB2312"/>
        </w:rPr>
      </w:pPr>
      <w:r>
        <w:rPr>
          <w:rFonts w:hint="eastAsia" w:ascii="仿宋_GB2312" w:hAnsi="仿宋_GB2312" w:eastAsia="仿宋_GB2312" w:cs="仿宋_GB2312"/>
        </w:rPr>
        <w:t>2020年8月13日</w:t>
      </w:r>
    </w:p>
    <w:bookmarkEnd w:id="0"/>
    <w:p>
      <w:pPr>
        <w:spacing w:line="560" w:lineRule="exact"/>
        <w:ind w:right="1422" w:rightChars="450" w:firstLine="632" w:firstLineChars="200"/>
        <w:jc w:val="right"/>
      </w:pPr>
    </w:p>
    <w:p>
      <w:pPr>
        <w:spacing w:line="560" w:lineRule="exact"/>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8" w:header="851" w:footer="1400" w:gutter="0"/>
          <w:pgNumType w:fmt="numberInDash"/>
          <w:cols w:space="425" w:num="1"/>
          <w:docGrid w:type="linesAndChars" w:linePitch="579" w:charSpace="-849"/>
        </w:sectPr>
      </w:pPr>
      <w:r>
        <w:rPr>
          <w:spacing w:val="-26"/>
          <w:szCs w:val="32"/>
          <w:u w:val="single"/>
        </w:rPr>
        <w:t xml:space="preserve"> </w:t>
      </w:r>
    </w:p>
    <w:p>
      <w:pPr>
        <w:widowControl/>
        <w:tabs>
          <w:tab w:val="left" w:pos="2104"/>
          <w:tab w:val="left" w:pos="2850"/>
          <w:tab w:val="left" w:pos="3553"/>
          <w:tab w:val="left" w:pos="4354"/>
          <w:tab w:val="left" w:pos="5199"/>
          <w:tab w:val="left" w:pos="6116"/>
          <w:tab w:val="left" w:pos="7033"/>
          <w:tab w:val="left" w:pos="8209"/>
          <w:tab w:val="left" w:pos="9385"/>
          <w:tab w:val="left" w:pos="10158"/>
          <w:tab w:val="left" w:pos="10945"/>
          <w:tab w:val="left" w:pos="11775"/>
          <w:tab w:val="left" w:pos="12605"/>
          <w:tab w:val="left" w:pos="13378"/>
          <w:tab w:val="left" w:pos="14208"/>
          <w:tab w:val="left" w:pos="15024"/>
          <w:tab w:val="left" w:pos="15840"/>
          <w:tab w:val="left" w:pos="16728"/>
          <w:tab w:val="left" w:pos="17616"/>
        </w:tabs>
        <w:spacing w:line="460" w:lineRule="exact"/>
        <w:rPr>
          <w:rFonts w:eastAsia="黑体"/>
          <w:color w:val="000000"/>
          <w:kern w:val="0"/>
          <w:sz w:val="22"/>
          <w:szCs w:val="22"/>
        </w:rPr>
      </w:pPr>
      <w:r>
        <w:rPr>
          <w:rFonts w:hAnsi="黑体" w:eastAsia="黑体"/>
          <w:color w:val="000000"/>
          <w:kern w:val="0"/>
        </w:rPr>
        <w:t>附件</w:t>
      </w:r>
    </w:p>
    <w:p>
      <w:pPr>
        <w:widowControl/>
        <w:spacing w:before="240" w:beforeLines="100" w:after="240" w:afterLines="100" w:line="460" w:lineRule="exact"/>
        <w:jc w:val="center"/>
        <w:rPr>
          <w:rFonts w:eastAsia="方正小标宋简体"/>
          <w:color w:val="000000"/>
          <w:kern w:val="0"/>
          <w:sz w:val="44"/>
        </w:rPr>
      </w:pPr>
      <w:r>
        <w:rPr>
          <w:rFonts w:eastAsia="方正小标宋简体"/>
          <w:color w:val="000000"/>
          <w:kern w:val="0"/>
          <w:sz w:val="44"/>
        </w:rPr>
        <w:t>公益类事业单位改革“后半篇”文章</w:t>
      </w:r>
      <w:r>
        <w:rPr>
          <w:rFonts w:hint="eastAsia" w:eastAsia="方正小标宋简体"/>
          <w:color w:val="000000"/>
          <w:kern w:val="0"/>
          <w:sz w:val="44"/>
        </w:rPr>
        <w:t>落实</w:t>
      </w:r>
      <w:r>
        <w:rPr>
          <w:rFonts w:eastAsia="方正小标宋简体"/>
          <w:color w:val="000000"/>
          <w:kern w:val="0"/>
          <w:sz w:val="44"/>
        </w:rPr>
        <w:t>表</w:t>
      </w:r>
    </w:p>
    <w:p>
      <w:pPr>
        <w:widowControl/>
        <w:spacing w:line="460" w:lineRule="exact"/>
        <w:ind w:left="160" w:leftChars="50" w:right="160" w:rightChars="50"/>
        <w:rPr>
          <w:rFonts w:ascii="楷体_GB2312" w:hAnsi="宋体" w:eastAsia="楷体_GB2312" w:cs="宋体"/>
          <w:color w:val="000000"/>
          <w:kern w:val="0"/>
          <w:sz w:val="21"/>
          <w:szCs w:val="21"/>
        </w:rPr>
      </w:pPr>
      <w:r>
        <w:rPr>
          <w:rFonts w:ascii="楷体_GB2312" w:hAnsi="宋体" w:eastAsia="楷体_GB2312" w:cs="宋体"/>
          <w:color w:val="000000"/>
          <w:kern w:val="0"/>
          <w:sz w:val="21"/>
          <w:szCs w:val="21"/>
        </w:rPr>
        <w:t xml:space="preserve">填报单位：（盖章）                        </w:t>
      </w:r>
      <w:r>
        <w:rPr>
          <w:rFonts w:hint="eastAsia" w:ascii="楷体_GB2312" w:hAnsi="宋体" w:eastAsia="楷体_GB2312" w:cs="宋体"/>
          <w:color w:val="000000"/>
          <w:kern w:val="0"/>
          <w:sz w:val="21"/>
          <w:szCs w:val="21"/>
        </w:rPr>
        <w:t xml:space="preserve"> </w:t>
      </w:r>
      <w:r>
        <w:rPr>
          <w:rFonts w:ascii="楷体_GB2312" w:hAnsi="宋体" w:eastAsia="楷体_GB2312" w:cs="宋体"/>
          <w:color w:val="000000"/>
          <w:kern w:val="0"/>
          <w:sz w:val="21"/>
          <w:szCs w:val="21"/>
        </w:rPr>
        <w:t xml:space="preserve">                  </w:t>
      </w:r>
      <w:r>
        <w:rPr>
          <w:rFonts w:hint="eastAsia" w:ascii="楷体_GB2312" w:hAnsi="宋体" w:eastAsia="楷体_GB2312" w:cs="宋体"/>
          <w:color w:val="000000"/>
          <w:kern w:val="0"/>
          <w:sz w:val="21"/>
          <w:szCs w:val="21"/>
        </w:rPr>
        <w:t xml:space="preserve">                               </w:t>
      </w:r>
      <w:r>
        <w:rPr>
          <w:rFonts w:ascii="楷体_GB2312" w:hAnsi="宋体" w:eastAsia="楷体_GB2312" w:cs="宋体"/>
          <w:color w:val="000000"/>
          <w:kern w:val="0"/>
          <w:sz w:val="21"/>
          <w:szCs w:val="21"/>
        </w:rPr>
        <w:t xml:space="preserve">      填报时间： </w:t>
      </w:r>
      <w:r>
        <w:rPr>
          <w:rFonts w:hint="eastAsia" w:ascii="楷体_GB2312" w:hAnsi="宋体" w:eastAsia="楷体_GB2312" w:cs="宋体"/>
          <w:color w:val="000000"/>
          <w:kern w:val="0"/>
          <w:sz w:val="21"/>
          <w:szCs w:val="21"/>
        </w:rPr>
        <w:t xml:space="preserve">    </w:t>
      </w:r>
      <w:r>
        <w:rPr>
          <w:rFonts w:ascii="楷体_GB2312" w:hAnsi="宋体" w:eastAsia="楷体_GB2312" w:cs="宋体"/>
          <w:color w:val="000000"/>
          <w:kern w:val="0"/>
          <w:sz w:val="21"/>
          <w:szCs w:val="21"/>
        </w:rPr>
        <w:t xml:space="preserve"> 年</w:t>
      </w:r>
      <w:r>
        <w:rPr>
          <w:rFonts w:ascii="方正小标宋简体" w:hAnsi="宋体" w:eastAsia="方正小标宋简体" w:cs="宋体"/>
          <w:color w:val="000000"/>
          <w:kern w:val="0"/>
          <w:sz w:val="21"/>
          <w:szCs w:val="21"/>
        </w:rPr>
        <w:t xml:space="preserve">   </w:t>
      </w:r>
      <w:r>
        <w:rPr>
          <w:rFonts w:ascii="楷体_GB2312" w:hAnsi="宋体" w:eastAsia="楷体_GB2312" w:cs="宋体"/>
          <w:color w:val="000000"/>
          <w:kern w:val="0"/>
          <w:sz w:val="21"/>
          <w:szCs w:val="21"/>
        </w:rPr>
        <w:t>月</w:t>
      </w:r>
      <w:r>
        <w:rPr>
          <w:rFonts w:ascii="方正小标宋简体" w:hAnsi="宋体" w:eastAsia="方正小标宋简体" w:cs="宋体"/>
          <w:color w:val="000000"/>
          <w:kern w:val="0"/>
          <w:sz w:val="21"/>
          <w:szCs w:val="21"/>
        </w:rPr>
        <w:t xml:space="preserve">   </w:t>
      </w:r>
      <w:r>
        <w:rPr>
          <w:rFonts w:ascii="楷体_GB2312" w:hAnsi="宋体" w:eastAsia="楷体_GB2312" w:cs="宋体"/>
          <w:color w:val="000000"/>
          <w:kern w:val="0"/>
          <w:sz w:val="21"/>
          <w:szCs w:val="21"/>
        </w:rPr>
        <w:t>日</w:t>
      </w:r>
    </w:p>
    <w:tbl>
      <w:tblPr>
        <w:tblStyle w:val="6"/>
        <w:tblW w:w="14004"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
      <w:tblGrid>
        <w:gridCol w:w="682"/>
        <w:gridCol w:w="3741"/>
        <w:gridCol w:w="567"/>
        <w:gridCol w:w="567"/>
        <w:gridCol w:w="567"/>
        <w:gridCol w:w="567"/>
        <w:gridCol w:w="567"/>
        <w:gridCol w:w="567"/>
        <w:gridCol w:w="567"/>
        <w:gridCol w:w="567"/>
        <w:gridCol w:w="567"/>
        <w:gridCol w:w="567"/>
        <w:gridCol w:w="567"/>
        <w:gridCol w:w="567"/>
        <w:gridCol w:w="27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23" w:hRule="atLeast"/>
          <w:jc w:val="center"/>
        </w:trPr>
        <w:tc>
          <w:tcPr>
            <w:tcW w:w="682" w:type="dxa"/>
            <w:vMerge w:val="restart"/>
            <w:vAlign w:val="center"/>
          </w:tcPr>
          <w:p>
            <w:pPr>
              <w:widowControl/>
              <w:spacing w:line="460" w:lineRule="exact"/>
              <w:jc w:val="center"/>
              <w:rPr>
                <w:rFonts w:eastAsia="黑体"/>
                <w:color w:val="000000"/>
                <w:kern w:val="0"/>
                <w:sz w:val="21"/>
                <w:szCs w:val="21"/>
              </w:rPr>
            </w:pPr>
            <w:r>
              <w:rPr>
                <w:rFonts w:hAnsi="黑体" w:eastAsia="黑体"/>
                <w:color w:val="000000"/>
                <w:kern w:val="0"/>
                <w:sz w:val="21"/>
                <w:szCs w:val="21"/>
              </w:rPr>
              <w:t>序号</w:t>
            </w:r>
          </w:p>
        </w:tc>
        <w:tc>
          <w:tcPr>
            <w:tcW w:w="3741" w:type="dxa"/>
            <w:vMerge w:val="restart"/>
            <w:vAlign w:val="center"/>
          </w:tcPr>
          <w:p>
            <w:pPr>
              <w:widowControl/>
              <w:spacing w:line="460" w:lineRule="exact"/>
              <w:jc w:val="center"/>
              <w:rPr>
                <w:rFonts w:eastAsia="黑体"/>
                <w:color w:val="000000"/>
                <w:kern w:val="0"/>
                <w:sz w:val="21"/>
                <w:szCs w:val="21"/>
              </w:rPr>
            </w:pPr>
            <w:r>
              <w:rPr>
                <w:rFonts w:hint="eastAsia" w:hAnsi="黑体" w:eastAsia="黑体"/>
                <w:color w:val="000000"/>
                <w:kern w:val="0"/>
                <w:sz w:val="21"/>
                <w:szCs w:val="21"/>
              </w:rPr>
              <w:t>事业单位名称</w:t>
            </w:r>
          </w:p>
        </w:tc>
        <w:tc>
          <w:tcPr>
            <w:tcW w:w="1134" w:type="dxa"/>
            <w:gridSpan w:val="2"/>
            <w:vMerge w:val="restart"/>
            <w:vAlign w:val="center"/>
          </w:tcPr>
          <w:p>
            <w:pPr>
              <w:widowControl/>
              <w:spacing w:line="360" w:lineRule="exact"/>
              <w:jc w:val="center"/>
              <w:rPr>
                <w:rFonts w:hAnsi="黑体" w:eastAsia="黑体"/>
                <w:color w:val="000000"/>
                <w:kern w:val="0"/>
                <w:sz w:val="21"/>
                <w:szCs w:val="21"/>
              </w:rPr>
            </w:pPr>
            <w:r>
              <w:rPr>
                <w:rFonts w:hint="eastAsia" w:hAnsi="黑体" w:eastAsia="黑体"/>
                <w:color w:val="000000"/>
                <w:kern w:val="0"/>
                <w:sz w:val="21"/>
                <w:szCs w:val="21"/>
              </w:rPr>
              <w:t>机构</w:t>
            </w:r>
            <w:r>
              <w:rPr>
                <w:rFonts w:hAnsi="黑体" w:eastAsia="黑体"/>
                <w:color w:val="000000"/>
                <w:kern w:val="0"/>
                <w:sz w:val="21"/>
                <w:szCs w:val="21"/>
              </w:rPr>
              <w:t>挂牌</w:t>
            </w:r>
          </w:p>
          <w:p>
            <w:pPr>
              <w:widowControl/>
              <w:spacing w:line="360" w:lineRule="exact"/>
              <w:jc w:val="center"/>
              <w:rPr>
                <w:rFonts w:eastAsia="黑体"/>
                <w:color w:val="000000"/>
                <w:kern w:val="0"/>
                <w:sz w:val="21"/>
                <w:szCs w:val="21"/>
              </w:rPr>
            </w:pPr>
            <w:r>
              <w:rPr>
                <w:rFonts w:hint="eastAsia" w:hAnsi="黑体" w:eastAsia="黑体"/>
                <w:color w:val="000000"/>
                <w:kern w:val="0"/>
                <w:sz w:val="21"/>
                <w:szCs w:val="21"/>
              </w:rPr>
              <w:t>调整</w:t>
            </w:r>
          </w:p>
        </w:tc>
        <w:tc>
          <w:tcPr>
            <w:tcW w:w="1134" w:type="dxa"/>
            <w:gridSpan w:val="2"/>
            <w:vMerge w:val="restart"/>
            <w:vAlign w:val="center"/>
          </w:tcPr>
          <w:p>
            <w:pPr>
              <w:widowControl/>
              <w:spacing w:line="360" w:lineRule="exact"/>
              <w:jc w:val="center"/>
              <w:rPr>
                <w:rFonts w:eastAsia="黑体"/>
                <w:color w:val="000000"/>
                <w:kern w:val="0"/>
                <w:sz w:val="21"/>
                <w:szCs w:val="21"/>
              </w:rPr>
            </w:pPr>
            <w:r>
              <w:rPr>
                <w:rFonts w:hAnsi="黑体" w:eastAsia="黑体"/>
                <w:color w:val="000000"/>
                <w:kern w:val="0"/>
                <w:sz w:val="21"/>
                <w:szCs w:val="21"/>
              </w:rPr>
              <w:t>人员转隶</w:t>
            </w:r>
          </w:p>
        </w:tc>
        <w:tc>
          <w:tcPr>
            <w:tcW w:w="1134" w:type="dxa"/>
            <w:gridSpan w:val="2"/>
            <w:vMerge w:val="restart"/>
            <w:vAlign w:val="center"/>
          </w:tcPr>
          <w:p>
            <w:pPr>
              <w:widowControl/>
              <w:spacing w:line="360" w:lineRule="exact"/>
              <w:jc w:val="center"/>
              <w:rPr>
                <w:rFonts w:eastAsia="黑体"/>
                <w:color w:val="000000"/>
                <w:kern w:val="0"/>
                <w:sz w:val="21"/>
                <w:szCs w:val="21"/>
              </w:rPr>
            </w:pPr>
            <w:r>
              <w:rPr>
                <w:rFonts w:hAnsi="黑体" w:eastAsia="黑体"/>
                <w:color w:val="000000"/>
                <w:kern w:val="0"/>
                <w:sz w:val="21"/>
                <w:szCs w:val="21"/>
              </w:rPr>
              <w:t>领导班子</w:t>
            </w:r>
            <w:r>
              <w:rPr>
                <w:rFonts w:eastAsia="黑体"/>
                <w:color w:val="000000"/>
                <w:kern w:val="0"/>
                <w:sz w:val="21"/>
                <w:szCs w:val="21"/>
              </w:rPr>
              <w:br w:type="textWrapping"/>
            </w:r>
            <w:r>
              <w:rPr>
                <w:rFonts w:hAnsi="黑体" w:eastAsia="黑体"/>
                <w:color w:val="000000"/>
                <w:kern w:val="0"/>
                <w:sz w:val="21"/>
                <w:szCs w:val="21"/>
              </w:rPr>
              <w:t>配备</w:t>
            </w:r>
          </w:p>
        </w:tc>
        <w:tc>
          <w:tcPr>
            <w:tcW w:w="2268" w:type="dxa"/>
            <w:gridSpan w:val="4"/>
            <w:vAlign w:val="center"/>
          </w:tcPr>
          <w:p>
            <w:pPr>
              <w:widowControl/>
              <w:spacing w:line="360" w:lineRule="exact"/>
              <w:jc w:val="center"/>
              <w:rPr>
                <w:rFonts w:hAnsi="黑体" w:eastAsia="黑体"/>
                <w:color w:val="000000"/>
                <w:kern w:val="0"/>
                <w:sz w:val="21"/>
                <w:szCs w:val="21"/>
              </w:rPr>
            </w:pPr>
            <w:r>
              <w:rPr>
                <w:rFonts w:hint="eastAsia" w:hAnsi="黑体" w:eastAsia="黑体"/>
                <w:color w:val="000000"/>
                <w:kern w:val="0"/>
                <w:sz w:val="21"/>
                <w:szCs w:val="21"/>
              </w:rPr>
              <w:t>事业单位</w:t>
            </w:r>
            <w:r>
              <w:rPr>
                <w:rFonts w:hAnsi="黑体" w:eastAsia="黑体"/>
                <w:color w:val="000000"/>
                <w:kern w:val="0"/>
                <w:sz w:val="21"/>
                <w:szCs w:val="21"/>
              </w:rPr>
              <w:t>法人登记</w:t>
            </w:r>
          </w:p>
        </w:tc>
        <w:tc>
          <w:tcPr>
            <w:tcW w:w="1134" w:type="dxa"/>
            <w:gridSpan w:val="2"/>
            <w:vMerge w:val="restart"/>
            <w:vAlign w:val="center"/>
          </w:tcPr>
          <w:p>
            <w:pPr>
              <w:widowControl/>
              <w:spacing w:line="360" w:lineRule="exact"/>
              <w:jc w:val="center"/>
              <w:rPr>
                <w:rFonts w:hAnsi="黑体" w:eastAsia="黑体"/>
                <w:color w:val="000000"/>
                <w:kern w:val="0"/>
                <w:sz w:val="21"/>
                <w:szCs w:val="21"/>
              </w:rPr>
            </w:pPr>
            <w:r>
              <w:rPr>
                <w:rFonts w:hAnsi="黑体" w:eastAsia="黑体"/>
                <w:color w:val="000000"/>
                <w:kern w:val="0"/>
                <w:sz w:val="21"/>
                <w:szCs w:val="21"/>
              </w:rPr>
              <w:t>实名制</w:t>
            </w:r>
          </w:p>
          <w:p>
            <w:pPr>
              <w:widowControl/>
              <w:spacing w:line="360" w:lineRule="exact"/>
              <w:jc w:val="center"/>
            </w:pPr>
            <w:r>
              <w:rPr>
                <w:rFonts w:hAnsi="黑体" w:eastAsia="黑体"/>
                <w:color w:val="000000"/>
                <w:kern w:val="0"/>
                <w:sz w:val="21"/>
                <w:szCs w:val="21"/>
              </w:rPr>
              <w:t>数据库更新</w:t>
            </w:r>
          </w:p>
        </w:tc>
        <w:tc>
          <w:tcPr>
            <w:tcW w:w="2777" w:type="dxa"/>
            <w:vMerge w:val="restart"/>
            <w:vAlign w:val="center"/>
          </w:tcPr>
          <w:p>
            <w:pPr>
              <w:widowControl/>
              <w:spacing w:line="460" w:lineRule="exact"/>
              <w:jc w:val="center"/>
              <w:rPr>
                <w:rFonts w:hAnsi="黑体" w:eastAsia="黑体"/>
                <w:color w:val="000000"/>
                <w:kern w:val="0"/>
                <w:sz w:val="21"/>
                <w:szCs w:val="21"/>
              </w:rPr>
            </w:pPr>
            <w:r>
              <w:rPr>
                <w:rFonts w:hint="eastAsia" w:hAnsi="黑体" w:eastAsia="黑体"/>
                <w:color w:val="000000"/>
                <w:kern w:val="0"/>
                <w:sz w:val="21"/>
                <w:szCs w:val="21"/>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248" w:hRule="atLeast"/>
          <w:jc w:val="center"/>
        </w:trPr>
        <w:tc>
          <w:tcPr>
            <w:tcW w:w="682" w:type="dxa"/>
            <w:vMerge w:val="continue"/>
            <w:vAlign w:val="center"/>
          </w:tcPr>
          <w:p>
            <w:pPr>
              <w:widowControl/>
              <w:spacing w:line="460" w:lineRule="exact"/>
              <w:jc w:val="left"/>
              <w:rPr>
                <w:rFonts w:eastAsia="黑体"/>
                <w:color w:val="000000"/>
                <w:kern w:val="0"/>
                <w:sz w:val="21"/>
                <w:szCs w:val="21"/>
              </w:rPr>
            </w:pPr>
          </w:p>
        </w:tc>
        <w:tc>
          <w:tcPr>
            <w:tcW w:w="3741" w:type="dxa"/>
            <w:vMerge w:val="continue"/>
            <w:vAlign w:val="center"/>
          </w:tcPr>
          <w:p>
            <w:pPr>
              <w:widowControl/>
              <w:spacing w:line="460" w:lineRule="exact"/>
              <w:jc w:val="left"/>
              <w:rPr>
                <w:rFonts w:eastAsia="黑体"/>
                <w:color w:val="000000"/>
                <w:kern w:val="0"/>
                <w:sz w:val="21"/>
                <w:szCs w:val="21"/>
              </w:rPr>
            </w:pPr>
          </w:p>
        </w:tc>
        <w:tc>
          <w:tcPr>
            <w:tcW w:w="1134" w:type="dxa"/>
            <w:gridSpan w:val="2"/>
            <w:vMerge w:val="continue"/>
            <w:vAlign w:val="center"/>
          </w:tcPr>
          <w:p>
            <w:pPr>
              <w:widowControl/>
              <w:spacing w:line="360" w:lineRule="exact"/>
              <w:jc w:val="left"/>
              <w:rPr>
                <w:rFonts w:eastAsia="黑体"/>
                <w:color w:val="000000"/>
                <w:kern w:val="0"/>
                <w:sz w:val="21"/>
                <w:szCs w:val="21"/>
              </w:rPr>
            </w:pPr>
          </w:p>
        </w:tc>
        <w:tc>
          <w:tcPr>
            <w:tcW w:w="1134" w:type="dxa"/>
            <w:gridSpan w:val="2"/>
            <w:vMerge w:val="continue"/>
            <w:vAlign w:val="center"/>
          </w:tcPr>
          <w:p>
            <w:pPr>
              <w:widowControl/>
              <w:spacing w:line="360" w:lineRule="exact"/>
              <w:jc w:val="left"/>
              <w:rPr>
                <w:rFonts w:eastAsia="黑体"/>
                <w:color w:val="000000"/>
                <w:kern w:val="0"/>
                <w:sz w:val="21"/>
                <w:szCs w:val="21"/>
              </w:rPr>
            </w:pPr>
          </w:p>
        </w:tc>
        <w:tc>
          <w:tcPr>
            <w:tcW w:w="1134" w:type="dxa"/>
            <w:gridSpan w:val="2"/>
            <w:vMerge w:val="continue"/>
            <w:vAlign w:val="center"/>
          </w:tcPr>
          <w:p>
            <w:pPr>
              <w:widowControl/>
              <w:spacing w:line="360" w:lineRule="exact"/>
              <w:jc w:val="left"/>
              <w:rPr>
                <w:rFonts w:eastAsia="黑体"/>
                <w:color w:val="000000"/>
                <w:kern w:val="0"/>
                <w:sz w:val="21"/>
                <w:szCs w:val="21"/>
              </w:rPr>
            </w:pPr>
          </w:p>
        </w:tc>
        <w:tc>
          <w:tcPr>
            <w:tcW w:w="1134" w:type="dxa"/>
            <w:gridSpan w:val="2"/>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设立</w:t>
            </w:r>
          </w:p>
        </w:tc>
        <w:tc>
          <w:tcPr>
            <w:tcW w:w="1134" w:type="dxa"/>
            <w:gridSpan w:val="2"/>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变更</w:t>
            </w:r>
          </w:p>
        </w:tc>
        <w:tc>
          <w:tcPr>
            <w:tcW w:w="1134" w:type="dxa"/>
            <w:gridSpan w:val="2"/>
            <w:vMerge w:val="continue"/>
            <w:vAlign w:val="center"/>
          </w:tcPr>
          <w:p>
            <w:pPr>
              <w:widowControl/>
              <w:spacing w:line="360" w:lineRule="exact"/>
              <w:jc w:val="left"/>
            </w:pPr>
          </w:p>
        </w:tc>
        <w:tc>
          <w:tcPr>
            <w:tcW w:w="2777" w:type="dxa"/>
            <w:vMerge w:val="continue"/>
            <w:vAlign w:val="center"/>
          </w:tcPr>
          <w:p>
            <w:pPr>
              <w:widowControl/>
              <w:spacing w:line="460" w:lineRule="exact"/>
              <w:jc w:val="center"/>
              <w:rPr>
                <w:rFonts w:hAnsi="黑体" w:eastAsia="黑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39" w:hRule="atLeast"/>
          <w:jc w:val="center"/>
        </w:trPr>
        <w:tc>
          <w:tcPr>
            <w:tcW w:w="682" w:type="dxa"/>
            <w:vMerge w:val="continue"/>
            <w:vAlign w:val="center"/>
          </w:tcPr>
          <w:p>
            <w:pPr>
              <w:widowControl/>
              <w:spacing w:line="460" w:lineRule="exact"/>
              <w:jc w:val="left"/>
              <w:rPr>
                <w:rFonts w:eastAsia="黑体"/>
                <w:color w:val="000000"/>
                <w:kern w:val="0"/>
                <w:sz w:val="21"/>
                <w:szCs w:val="21"/>
              </w:rPr>
            </w:pPr>
          </w:p>
        </w:tc>
        <w:tc>
          <w:tcPr>
            <w:tcW w:w="3741" w:type="dxa"/>
            <w:vMerge w:val="continue"/>
            <w:vAlign w:val="center"/>
          </w:tcPr>
          <w:p>
            <w:pPr>
              <w:widowControl/>
              <w:spacing w:line="460" w:lineRule="exact"/>
              <w:jc w:val="left"/>
              <w:rPr>
                <w:rFonts w:eastAsia="黑体"/>
                <w:color w:val="000000"/>
                <w:kern w:val="0"/>
                <w:sz w:val="21"/>
                <w:szCs w:val="21"/>
              </w:rPr>
            </w:pP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已</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未</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已</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未</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已</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未</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已</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未</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已</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未</w:t>
            </w:r>
          </w:p>
          <w:p>
            <w:pPr>
              <w:widowControl/>
              <w:spacing w:line="360" w:lineRule="exact"/>
              <w:jc w:val="center"/>
              <w:rPr>
                <w:rFonts w:eastAsia="黑体"/>
                <w:color w:val="000000"/>
                <w:kern w:val="0"/>
                <w:sz w:val="21"/>
                <w:szCs w:val="21"/>
              </w:rP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已</w:t>
            </w:r>
          </w:p>
          <w:p>
            <w:pPr>
              <w:widowControl/>
              <w:spacing w:line="360" w:lineRule="exact"/>
              <w:jc w:val="center"/>
            </w:pPr>
            <w:r>
              <w:rPr>
                <w:rFonts w:eastAsia="黑体"/>
                <w:color w:val="000000"/>
                <w:kern w:val="0"/>
                <w:sz w:val="21"/>
                <w:szCs w:val="21"/>
              </w:rPr>
              <w:t>完成</w:t>
            </w:r>
          </w:p>
        </w:tc>
        <w:tc>
          <w:tcPr>
            <w:tcW w:w="567" w:type="dxa"/>
            <w:vAlign w:val="center"/>
          </w:tcPr>
          <w:p>
            <w:pPr>
              <w:widowControl/>
              <w:spacing w:line="360" w:lineRule="exact"/>
              <w:jc w:val="center"/>
              <w:rPr>
                <w:rFonts w:eastAsia="黑体"/>
                <w:color w:val="000000"/>
                <w:kern w:val="0"/>
                <w:sz w:val="21"/>
                <w:szCs w:val="21"/>
              </w:rPr>
            </w:pPr>
            <w:r>
              <w:rPr>
                <w:rFonts w:eastAsia="黑体"/>
                <w:color w:val="000000"/>
                <w:kern w:val="0"/>
                <w:sz w:val="21"/>
                <w:szCs w:val="21"/>
              </w:rPr>
              <w:t>未</w:t>
            </w:r>
          </w:p>
          <w:p>
            <w:pPr>
              <w:widowControl/>
              <w:spacing w:line="360" w:lineRule="exact"/>
              <w:jc w:val="center"/>
            </w:pPr>
            <w:r>
              <w:rPr>
                <w:rFonts w:eastAsia="黑体"/>
                <w:color w:val="000000"/>
                <w:kern w:val="0"/>
                <w:sz w:val="21"/>
                <w:szCs w:val="21"/>
              </w:rPr>
              <w:t>完成</w:t>
            </w:r>
          </w:p>
        </w:tc>
        <w:tc>
          <w:tcPr>
            <w:tcW w:w="2777" w:type="dxa"/>
            <w:vMerge w:val="continue"/>
            <w:vAlign w:val="center"/>
          </w:tcPr>
          <w:p>
            <w:pPr>
              <w:widowControl/>
              <w:spacing w:line="460" w:lineRule="exact"/>
              <w:jc w:val="center"/>
              <w:rPr>
                <w:rFonts w:eastAsia="黑体"/>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10" w:hRule="atLeast"/>
          <w:jc w:val="center"/>
        </w:trPr>
        <w:tc>
          <w:tcPr>
            <w:tcW w:w="682" w:type="dxa"/>
            <w:vAlign w:val="center"/>
          </w:tcPr>
          <w:p>
            <w:pPr>
              <w:widowControl/>
              <w:spacing w:line="460" w:lineRule="exact"/>
              <w:jc w:val="center"/>
              <w:rPr>
                <w:color w:val="000000"/>
                <w:kern w:val="0"/>
                <w:sz w:val="21"/>
                <w:szCs w:val="21"/>
              </w:rPr>
            </w:pPr>
            <w:r>
              <w:rPr>
                <w:color w:val="000000"/>
                <w:kern w:val="0"/>
                <w:sz w:val="21"/>
                <w:szCs w:val="21"/>
              </w:rPr>
              <w:t>1</w:t>
            </w:r>
          </w:p>
        </w:tc>
        <w:tc>
          <w:tcPr>
            <w:tcW w:w="3741"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left"/>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left"/>
            </w:pPr>
          </w:p>
        </w:tc>
        <w:tc>
          <w:tcPr>
            <w:tcW w:w="567" w:type="dxa"/>
            <w:vAlign w:val="center"/>
          </w:tcPr>
          <w:p>
            <w:pPr>
              <w:widowControl/>
              <w:spacing w:line="460" w:lineRule="exact"/>
              <w:jc w:val="center"/>
            </w:pPr>
          </w:p>
        </w:tc>
        <w:tc>
          <w:tcPr>
            <w:tcW w:w="2777" w:type="dxa"/>
            <w:vAlign w:val="center"/>
          </w:tcPr>
          <w:p>
            <w:pPr>
              <w:widowControl/>
              <w:spacing w:line="460" w:lineRule="exact"/>
              <w:jc w:val="left"/>
              <w:rPr>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60" w:hRule="atLeast"/>
          <w:jc w:val="center"/>
        </w:trPr>
        <w:tc>
          <w:tcPr>
            <w:tcW w:w="682" w:type="dxa"/>
            <w:vAlign w:val="center"/>
          </w:tcPr>
          <w:p>
            <w:pPr>
              <w:widowControl/>
              <w:spacing w:line="460" w:lineRule="exact"/>
              <w:jc w:val="center"/>
              <w:rPr>
                <w:color w:val="000000"/>
                <w:kern w:val="0"/>
                <w:sz w:val="21"/>
                <w:szCs w:val="21"/>
              </w:rPr>
            </w:pPr>
            <w:r>
              <w:rPr>
                <w:color w:val="000000"/>
                <w:kern w:val="0"/>
                <w:sz w:val="21"/>
                <w:szCs w:val="21"/>
              </w:rPr>
              <w:t>2</w:t>
            </w:r>
          </w:p>
        </w:tc>
        <w:tc>
          <w:tcPr>
            <w:tcW w:w="3741"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pPr>
          </w:p>
        </w:tc>
        <w:tc>
          <w:tcPr>
            <w:tcW w:w="567" w:type="dxa"/>
            <w:vAlign w:val="center"/>
          </w:tcPr>
          <w:p>
            <w:pPr>
              <w:widowControl/>
              <w:spacing w:line="460" w:lineRule="exact"/>
              <w:jc w:val="center"/>
            </w:pPr>
          </w:p>
        </w:tc>
        <w:tc>
          <w:tcPr>
            <w:tcW w:w="2777" w:type="dxa"/>
            <w:vAlign w:val="center"/>
          </w:tcPr>
          <w:p>
            <w:pPr>
              <w:widowControl/>
              <w:spacing w:line="460" w:lineRule="exact"/>
              <w:jc w:val="left"/>
              <w:rPr>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22" w:hRule="atLeast"/>
          <w:jc w:val="center"/>
        </w:trPr>
        <w:tc>
          <w:tcPr>
            <w:tcW w:w="682" w:type="dxa"/>
            <w:vAlign w:val="center"/>
          </w:tcPr>
          <w:p>
            <w:pPr>
              <w:widowControl/>
              <w:spacing w:line="460" w:lineRule="exact"/>
              <w:jc w:val="center"/>
              <w:rPr>
                <w:color w:val="000000"/>
                <w:kern w:val="0"/>
                <w:sz w:val="21"/>
                <w:szCs w:val="21"/>
              </w:rPr>
            </w:pPr>
            <w:r>
              <w:rPr>
                <w:color w:val="000000"/>
                <w:kern w:val="0"/>
                <w:sz w:val="21"/>
                <w:szCs w:val="21"/>
              </w:rPr>
              <w:t>3</w:t>
            </w:r>
          </w:p>
        </w:tc>
        <w:tc>
          <w:tcPr>
            <w:tcW w:w="3741"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pPr>
          </w:p>
        </w:tc>
        <w:tc>
          <w:tcPr>
            <w:tcW w:w="567" w:type="dxa"/>
            <w:vAlign w:val="center"/>
          </w:tcPr>
          <w:p>
            <w:pPr>
              <w:widowControl/>
              <w:spacing w:line="460" w:lineRule="exact"/>
              <w:jc w:val="center"/>
            </w:pPr>
          </w:p>
        </w:tc>
        <w:tc>
          <w:tcPr>
            <w:tcW w:w="2777" w:type="dxa"/>
            <w:vAlign w:val="center"/>
          </w:tcPr>
          <w:p>
            <w:pPr>
              <w:widowControl/>
              <w:spacing w:line="460" w:lineRule="exact"/>
              <w:jc w:val="left"/>
              <w:rPr>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410" w:hRule="atLeast"/>
          <w:jc w:val="center"/>
        </w:trPr>
        <w:tc>
          <w:tcPr>
            <w:tcW w:w="682" w:type="dxa"/>
            <w:vAlign w:val="center"/>
          </w:tcPr>
          <w:p>
            <w:pPr>
              <w:widowControl/>
              <w:spacing w:line="460" w:lineRule="exact"/>
              <w:jc w:val="center"/>
              <w:rPr>
                <w:color w:val="000000"/>
                <w:kern w:val="0"/>
                <w:sz w:val="21"/>
                <w:szCs w:val="21"/>
              </w:rPr>
            </w:pPr>
            <w:r>
              <w:rPr>
                <w:color w:val="000000"/>
                <w:kern w:val="0"/>
                <w:sz w:val="21"/>
                <w:szCs w:val="21"/>
              </w:rPr>
              <w:t>4</w:t>
            </w:r>
          </w:p>
        </w:tc>
        <w:tc>
          <w:tcPr>
            <w:tcW w:w="3741"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pPr>
          </w:p>
        </w:tc>
        <w:tc>
          <w:tcPr>
            <w:tcW w:w="567" w:type="dxa"/>
            <w:vAlign w:val="center"/>
          </w:tcPr>
          <w:p>
            <w:pPr>
              <w:widowControl/>
              <w:spacing w:line="460" w:lineRule="exact"/>
              <w:jc w:val="center"/>
            </w:pPr>
          </w:p>
        </w:tc>
        <w:tc>
          <w:tcPr>
            <w:tcW w:w="2777" w:type="dxa"/>
            <w:vAlign w:val="center"/>
          </w:tcPr>
          <w:p>
            <w:pPr>
              <w:widowControl/>
              <w:spacing w:line="460" w:lineRule="exact"/>
              <w:jc w:val="left"/>
              <w:rPr>
                <w:color w:val="000000"/>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28" w:type="dxa"/>
            <w:bottom w:w="28" w:type="dxa"/>
            <w:right w:w="28" w:type="dxa"/>
          </w:tblCellMar>
        </w:tblPrEx>
        <w:trPr>
          <w:trHeight w:val="539" w:hRule="atLeast"/>
          <w:jc w:val="center"/>
        </w:trPr>
        <w:tc>
          <w:tcPr>
            <w:tcW w:w="4423" w:type="dxa"/>
            <w:gridSpan w:val="2"/>
            <w:vAlign w:val="center"/>
          </w:tcPr>
          <w:p>
            <w:pPr>
              <w:widowControl/>
              <w:spacing w:line="460" w:lineRule="exact"/>
              <w:jc w:val="center"/>
              <w:rPr>
                <w:color w:val="000000"/>
                <w:kern w:val="0"/>
                <w:sz w:val="21"/>
                <w:szCs w:val="21"/>
              </w:rPr>
            </w:pPr>
            <w:r>
              <w:rPr>
                <w:color w:val="000000"/>
                <w:kern w:val="0"/>
                <w:sz w:val="21"/>
                <w:szCs w:val="21"/>
              </w:rPr>
              <w:t>合计</w:t>
            </w: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rPr>
                <w:color w:val="000000"/>
                <w:kern w:val="0"/>
                <w:sz w:val="21"/>
                <w:szCs w:val="21"/>
              </w:rPr>
            </w:pPr>
          </w:p>
        </w:tc>
        <w:tc>
          <w:tcPr>
            <w:tcW w:w="567" w:type="dxa"/>
            <w:vAlign w:val="center"/>
          </w:tcPr>
          <w:p>
            <w:pPr>
              <w:widowControl/>
              <w:spacing w:line="460" w:lineRule="exact"/>
              <w:jc w:val="center"/>
            </w:pPr>
          </w:p>
        </w:tc>
        <w:tc>
          <w:tcPr>
            <w:tcW w:w="567" w:type="dxa"/>
            <w:vAlign w:val="center"/>
          </w:tcPr>
          <w:p>
            <w:pPr>
              <w:widowControl/>
              <w:spacing w:line="460" w:lineRule="exact"/>
              <w:jc w:val="center"/>
            </w:pPr>
          </w:p>
        </w:tc>
        <w:tc>
          <w:tcPr>
            <w:tcW w:w="2777" w:type="dxa"/>
            <w:vAlign w:val="center"/>
          </w:tcPr>
          <w:p>
            <w:pPr>
              <w:widowControl/>
              <w:spacing w:line="460" w:lineRule="exact"/>
              <w:jc w:val="left"/>
              <w:rPr>
                <w:color w:val="000000"/>
                <w:kern w:val="0"/>
                <w:sz w:val="21"/>
                <w:szCs w:val="21"/>
              </w:rPr>
            </w:pPr>
          </w:p>
        </w:tc>
      </w:tr>
    </w:tbl>
    <w:p>
      <w:pPr>
        <w:widowControl/>
        <w:spacing w:line="460" w:lineRule="exact"/>
        <w:ind w:firstLine="480" w:firstLineChars="200"/>
        <w:jc w:val="left"/>
        <w:rPr>
          <w:rFonts w:ascii="仿宋_GB2312"/>
          <w:color w:val="000000"/>
          <w:kern w:val="0"/>
          <w:sz w:val="24"/>
        </w:rPr>
      </w:pPr>
      <w:r>
        <w:rPr>
          <w:rFonts w:eastAsia="楷体_GB2312"/>
          <w:color w:val="000000"/>
          <w:kern w:val="0"/>
          <w:sz w:val="24"/>
        </w:rPr>
        <w:t>备注：1</w:t>
      </w:r>
      <w:r>
        <w:rPr>
          <w:rFonts w:hint="eastAsia" w:ascii="仿宋_GB2312"/>
          <w:color w:val="000000"/>
          <w:kern w:val="0"/>
          <w:sz w:val="24"/>
        </w:rPr>
        <w:t>.</w:t>
      </w:r>
      <w:r>
        <w:rPr>
          <w:rFonts w:hint="eastAsia" w:ascii="楷体_GB2312" w:eastAsia="楷体_GB2312"/>
          <w:color w:val="000000"/>
          <w:kern w:val="0"/>
          <w:sz w:val="24"/>
        </w:rPr>
        <w:t>机构挂牌：要求按新“三定”或机构编制规定名称挂牌上墙或办公室门口有牌子，原</w:t>
      </w:r>
      <w:r>
        <w:rPr>
          <w:rFonts w:ascii="楷体_GB2312" w:eastAsia="楷体_GB2312"/>
          <w:color w:val="000000"/>
          <w:kern w:val="0"/>
          <w:sz w:val="24"/>
        </w:rPr>
        <w:t>有牌子已撤销的</w:t>
      </w:r>
      <w:r>
        <w:rPr>
          <w:rFonts w:hint="eastAsia" w:ascii="楷体_GB2312" w:eastAsia="楷体_GB2312"/>
          <w:color w:val="000000"/>
          <w:kern w:val="0"/>
          <w:sz w:val="24"/>
        </w:rPr>
        <w:t>不允许</w:t>
      </w:r>
      <w:r>
        <w:rPr>
          <w:rFonts w:ascii="楷体_GB2312" w:eastAsia="楷体_GB2312"/>
          <w:color w:val="000000"/>
          <w:kern w:val="0"/>
          <w:sz w:val="24"/>
        </w:rPr>
        <w:t>再</w:t>
      </w:r>
      <w:r>
        <w:rPr>
          <w:rFonts w:hint="eastAsia" w:ascii="楷体_GB2312" w:eastAsia="楷体_GB2312"/>
          <w:color w:val="000000"/>
          <w:kern w:val="0"/>
          <w:sz w:val="24"/>
        </w:rPr>
        <w:t>保留</w:t>
      </w:r>
      <w:r>
        <w:rPr>
          <w:rFonts w:ascii="楷体_GB2312" w:eastAsia="楷体_GB2312"/>
          <w:color w:val="000000"/>
          <w:kern w:val="0"/>
          <w:sz w:val="24"/>
        </w:rPr>
        <w:t>。</w:t>
      </w:r>
    </w:p>
    <w:p>
      <w:pPr>
        <w:widowControl/>
        <w:spacing w:line="460" w:lineRule="exact"/>
        <w:ind w:firstLine="1200" w:firstLineChars="500"/>
        <w:jc w:val="left"/>
        <w:rPr>
          <w:rFonts w:eastAsia="楷体_GB2312"/>
          <w:color w:val="000000"/>
          <w:kern w:val="0"/>
          <w:sz w:val="24"/>
        </w:rPr>
      </w:pPr>
      <w:r>
        <w:rPr>
          <w:rFonts w:eastAsia="楷体_GB2312"/>
          <w:color w:val="000000"/>
          <w:kern w:val="0"/>
          <w:sz w:val="24"/>
        </w:rPr>
        <w:t>2</w:t>
      </w:r>
      <w:r>
        <w:rPr>
          <w:rFonts w:hint="eastAsia" w:eastAsia="楷体_GB2312"/>
          <w:color w:val="000000"/>
          <w:kern w:val="0"/>
          <w:sz w:val="24"/>
        </w:rPr>
        <w:t>.</w:t>
      </w:r>
      <w:r>
        <w:rPr>
          <w:rFonts w:eastAsia="楷体_GB2312"/>
          <w:color w:val="000000"/>
          <w:kern w:val="0"/>
          <w:sz w:val="24"/>
        </w:rPr>
        <w:t>法人登记：按</w:t>
      </w:r>
      <w:r>
        <w:rPr>
          <w:rFonts w:hint="eastAsia" w:eastAsia="楷体_GB2312"/>
          <w:color w:val="000000"/>
          <w:kern w:val="0"/>
          <w:sz w:val="24"/>
        </w:rPr>
        <w:t>要求做好相关工作。</w:t>
      </w:r>
    </w:p>
    <w:p>
      <w:pPr>
        <w:widowControl/>
        <w:spacing w:line="460" w:lineRule="exact"/>
        <w:ind w:firstLine="1200" w:firstLineChars="500"/>
        <w:jc w:val="left"/>
        <w:rPr>
          <w:rFonts w:eastAsia="楷体_GB2312"/>
          <w:color w:val="000000"/>
          <w:kern w:val="0"/>
          <w:sz w:val="24"/>
        </w:rPr>
      </w:pPr>
      <w:r>
        <w:rPr>
          <w:rFonts w:hint="eastAsia" w:eastAsia="楷体_GB2312"/>
          <w:color w:val="000000"/>
          <w:kern w:val="0"/>
          <w:sz w:val="24"/>
        </w:rPr>
        <w:t>3.实名制数据库：人员划转到位，单位信息补充完整，经费形式有变动的人员信息调整完善。</w:t>
      </w:r>
    </w:p>
    <w:p>
      <w:pPr>
        <w:widowControl/>
        <w:spacing w:line="460" w:lineRule="exact"/>
        <w:ind w:firstLine="1200" w:firstLineChars="500"/>
        <w:jc w:val="left"/>
        <w:rPr>
          <w:rFonts w:eastAsia="楷体_GB2312"/>
          <w:color w:val="000000"/>
          <w:kern w:val="0"/>
          <w:sz w:val="24"/>
        </w:rPr>
      </w:pPr>
      <w:r>
        <w:rPr>
          <w:rFonts w:hint="eastAsia" w:eastAsia="楷体_GB2312"/>
          <w:color w:val="000000"/>
          <w:kern w:val="0"/>
          <w:sz w:val="24"/>
        </w:rPr>
        <w:t>4.备注</w:t>
      </w:r>
      <w:r>
        <w:rPr>
          <w:rFonts w:eastAsia="楷体_GB2312"/>
          <w:color w:val="000000"/>
          <w:kern w:val="0"/>
          <w:sz w:val="24"/>
        </w:rPr>
        <w:t>栏</w:t>
      </w:r>
      <w:r>
        <w:rPr>
          <w:rFonts w:hint="eastAsia" w:eastAsia="楷体_GB2312"/>
          <w:color w:val="000000"/>
          <w:kern w:val="0"/>
          <w:sz w:val="24"/>
        </w:rPr>
        <w:t>简要</w:t>
      </w:r>
      <w:r>
        <w:rPr>
          <w:rFonts w:eastAsia="楷体_GB2312"/>
          <w:color w:val="000000"/>
          <w:kern w:val="0"/>
          <w:sz w:val="24"/>
        </w:rPr>
        <w:t>填写</w:t>
      </w:r>
      <w:r>
        <w:rPr>
          <w:rFonts w:hint="eastAsia" w:eastAsia="楷体_GB2312"/>
          <w:color w:val="000000"/>
          <w:kern w:val="0"/>
          <w:sz w:val="24"/>
        </w:rPr>
        <w:t>机构挂牌、人员转隶、领导班子配备、事业单位法人登记、实名制数据库更新未完成</w:t>
      </w:r>
      <w:r>
        <w:rPr>
          <w:rFonts w:eastAsia="楷体_GB2312"/>
          <w:color w:val="000000"/>
          <w:kern w:val="0"/>
          <w:sz w:val="24"/>
        </w:rPr>
        <w:t>原因</w:t>
      </w:r>
      <w:r>
        <w:rPr>
          <w:rFonts w:hint="eastAsia" w:eastAsia="楷体_GB2312"/>
          <w:color w:val="000000"/>
          <w:kern w:val="0"/>
          <w:sz w:val="24"/>
        </w:rPr>
        <w:t>。</w:t>
      </w:r>
    </w:p>
    <w:p>
      <w:pPr>
        <w:widowControl/>
        <w:tabs>
          <w:tab w:val="left" w:pos="2104"/>
          <w:tab w:val="left" w:pos="2850"/>
          <w:tab w:val="left" w:pos="3553"/>
          <w:tab w:val="left" w:pos="4354"/>
          <w:tab w:val="left" w:pos="5199"/>
          <w:tab w:val="left" w:pos="6116"/>
          <w:tab w:val="left" w:pos="7033"/>
          <w:tab w:val="left" w:pos="8209"/>
          <w:tab w:val="left" w:pos="9385"/>
          <w:tab w:val="left" w:pos="10158"/>
          <w:tab w:val="left" w:pos="10945"/>
          <w:tab w:val="left" w:pos="11775"/>
          <w:tab w:val="left" w:pos="12605"/>
          <w:tab w:val="left" w:pos="13378"/>
          <w:tab w:val="left" w:pos="14208"/>
          <w:tab w:val="left" w:pos="15024"/>
          <w:tab w:val="left" w:pos="15840"/>
          <w:tab w:val="left" w:pos="16728"/>
          <w:tab w:val="left" w:pos="17616"/>
        </w:tabs>
        <w:spacing w:line="440" w:lineRule="exact"/>
        <w:rPr>
          <w:rFonts w:ascii="方正小标宋简体" w:hAnsi="方正小标宋简体" w:eastAsia="方正小标宋简体" w:cs="方正小标宋简体"/>
          <w:vanish/>
          <w:color w:val="000000"/>
          <w:sz w:val="44"/>
          <w:szCs w:val="44"/>
        </w:rPr>
      </w:pPr>
      <w:r>
        <w:rPr>
          <w:shd w:val="clear" w:color="auto" w:fill="FFFFFF"/>
        </w:rPr>
        <w:br w:type="page"/>
      </w:r>
      <w:r>
        <w:rPr>
          <w:rFonts w:ascii="方正小标宋简体" w:hAnsi="方正小标宋简体" w:eastAsia="方正小标宋简体" w:cs="方正小标宋简体"/>
          <w:vanish/>
          <w:color w:val="000000"/>
          <w:sz w:val="44"/>
          <w:szCs w:val="44"/>
        </w:rPr>
        <w:t xml:space="preserve"> </w:t>
      </w:r>
    </w:p>
    <w:sectPr>
      <w:pgSz w:w="16838" w:h="11906" w:orient="landscape"/>
      <w:pgMar w:top="2098" w:right="1474" w:bottom="1984" w:left="1588" w:header="851" w:footer="1400" w:gutter="0"/>
      <w:pgNumType w:fmt="numberInDash"/>
      <w:cols w:space="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仿宋_GB2312" w:hAnsi="仿宋_GB2312" w:cs="仿宋_GB2312"/>
                              <w:szCs w:val="32"/>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Cs w:val="32"/>
                            </w:rPr>
                            <w:t>- 1 -</w:t>
                          </w:r>
                          <w:r>
                            <w:rPr>
                              <w:rFonts w:hint="eastAsia" w:ascii="仿宋_GB2312" w:hAnsi="仿宋_GB2312" w:cs="仿宋_GB231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仿宋_GB2312" w:hAnsi="仿宋_GB2312" w:cs="仿宋_GB2312"/>
                        <w:szCs w:val="32"/>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rPr>
                        <w:rFonts w:ascii="仿宋_GB2312" w:hAnsi="仿宋_GB2312" w:cs="仿宋_GB2312"/>
                        <w:szCs w:val="32"/>
                      </w:rPr>
                      <w:t>- 1 -</w:t>
                    </w:r>
                    <w:r>
                      <w:rPr>
                        <w:rFonts w:hint="eastAsia" w:ascii="仿宋_GB2312" w:hAnsi="仿宋_GB2312" w:cs="仿宋_GB231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HorizontalSpacing w:val="158"/>
  <w:drawingGridVerticalSpacing w:val="290"/>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D01C26"/>
    <w:rsid w:val="00046141"/>
    <w:rsid w:val="00084C3D"/>
    <w:rsid w:val="001817AE"/>
    <w:rsid w:val="00254F0B"/>
    <w:rsid w:val="00276A36"/>
    <w:rsid w:val="00357C63"/>
    <w:rsid w:val="00374BC7"/>
    <w:rsid w:val="00485A70"/>
    <w:rsid w:val="00553B5D"/>
    <w:rsid w:val="00567A91"/>
    <w:rsid w:val="005C4F60"/>
    <w:rsid w:val="005C6689"/>
    <w:rsid w:val="00621E84"/>
    <w:rsid w:val="0067209B"/>
    <w:rsid w:val="00691618"/>
    <w:rsid w:val="007137F9"/>
    <w:rsid w:val="00736FA2"/>
    <w:rsid w:val="00785697"/>
    <w:rsid w:val="008625C0"/>
    <w:rsid w:val="008A7E3E"/>
    <w:rsid w:val="009454D8"/>
    <w:rsid w:val="009940D6"/>
    <w:rsid w:val="00A40545"/>
    <w:rsid w:val="00AA48E0"/>
    <w:rsid w:val="00BC13C4"/>
    <w:rsid w:val="00C21566"/>
    <w:rsid w:val="00D20EE9"/>
    <w:rsid w:val="00D4625C"/>
    <w:rsid w:val="00DD0884"/>
    <w:rsid w:val="00DD44C1"/>
    <w:rsid w:val="00E2102B"/>
    <w:rsid w:val="00F62A5E"/>
    <w:rsid w:val="00F85F2B"/>
    <w:rsid w:val="06AD706A"/>
    <w:rsid w:val="086C2895"/>
    <w:rsid w:val="0BC23494"/>
    <w:rsid w:val="119F4F55"/>
    <w:rsid w:val="14D01C26"/>
    <w:rsid w:val="16014287"/>
    <w:rsid w:val="1CA04D09"/>
    <w:rsid w:val="209A5A00"/>
    <w:rsid w:val="27D67F39"/>
    <w:rsid w:val="29BC6C35"/>
    <w:rsid w:val="30481A07"/>
    <w:rsid w:val="31833D27"/>
    <w:rsid w:val="3A371181"/>
    <w:rsid w:val="3D615775"/>
    <w:rsid w:val="3D85167B"/>
    <w:rsid w:val="41FF781B"/>
    <w:rsid w:val="4AFE2D76"/>
    <w:rsid w:val="4FA7026B"/>
    <w:rsid w:val="529E2E8E"/>
    <w:rsid w:val="5B6A40F5"/>
    <w:rsid w:val="6ADC42B6"/>
    <w:rsid w:val="7B706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10"/>
      <w:sz w:val="32"/>
      <w:szCs w:val="3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1"/>
    <w:qFormat/>
    <w:uiPriority w:val="0"/>
    <w:pPr>
      <w:ind w:left="100" w:leftChars="2500"/>
    </w:pPr>
  </w:style>
  <w:style w:type="paragraph" w:styleId="3">
    <w:name w:val="Balloon Text"/>
    <w:basedOn w:val="1"/>
    <w:link w:val="10"/>
    <w:uiPriority w:val="0"/>
    <w:rPr>
      <w:sz w:val="18"/>
      <w:szCs w:val="18"/>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Hyperlink"/>
    <w:basedOn w:val="7"/>
    <w:uiPriority w:val="0"/>
    <w:rPr>
      <w:color w:val="0000FF"/>
      <w:u w:val="single"/>
    </w:rPr>
  </w:style>
  <w:style w:type="character" w:customStyle="1" w:styleId="10">
    <w:name w:val="批注框文本 Char"/>
    <w:basedOn w:val="7"/>
    <w:link w:val="3"/>
    <w:uiPriority w:val="0"/>
    <w:rPr>
      <w:rFonts w:eastAsia="仿宋_GB2312"/>
      <w:kern w:val="10"/>
      <w:sz w:val="18"/>
      <w:szCs w:val="18"/>
    </w:rPr>
  </w:style>
  <w:style w:type="character" w:customStyle="1" w:styleId="11">
    <w:name w:val="日期 Char"/>
    <w:basedOn w:val="7"/>
    <w:link w:val="2"/>
    <w:uiPriority w:val="0"/>
    <w:rPr>
      <w:rFonts w:eastAsia="仿宋_GB2312"/>
      <w:kern w:val="10"/>
      <w:sz w:val="34"/>
      <w:szCs w:val="3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义乌市党群部门</Company>
  <Pages>1</Pages>
  <Words>249</Words>
  <Characters>1425</Characters>
  <Lines>11</Lines>
  <Paragraphs>3</Paragraphs>
  <TotalTime>5</TotalTime>
  <ScaleCrop>false</ScaleCrop>
  <LinksUpToDate>false</LinksUpToDate>
  <CharactersWithSpaces>1671</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2020-08-14T03:19:00Z</dcterms:created>
  <dc:creator>Administrator</dc:creator>
  <cp:lastModifiedBy>王超</cp:lastModifiedBy>
  <cp:lastPrinted>2020-08-13T08:37:00Z</cp:lastPrinted>
  <dcterms:modified xsi:type="dcterms:W3CDTF">2020-08-14T08:19:29Z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