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农业设施补助标准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95"/>
        <w:gridCol w:w="266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63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类  别</w:t>
            </w:r>
          </w:p>
        </w:tc>
        <w:tc>
          <w:tcPr>
            <w:tcW w:w="4604" w:type="dxa"/>
            <w:gridSpan w:val="2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补助标准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63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农业“标准地”项目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农用连栋钢架大棚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GP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L832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不带外遮荫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元/平方米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带外遮荫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元/平方米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田间管网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滴灌带(软管)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500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元/亩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450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使用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PE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硬管微喷或滴灌（箭）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元/亩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700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使用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PE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硬管、上下两层及以上立体式喷滴灌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元/亩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850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63" w:type="dxa"/>
            <w:gridSpan w:val="2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玻璃温室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260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元/平方米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230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元/平方米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6311"/>
    <w:rsid w:val="0C2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2022-05-12T07:29:00Z</dcterms:created>
  <dc:creator>冰琦</dc:creator>
  <cp:lastModifiedBy>冰琦</cp:lastModifiedBy>
  <dcterms:modified xsi:type="dcterms:W3CDTF">2022-05-12T07:30:13Z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