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3C" w:rsidRDefault="00443EAE">
      <w:pPr>
        <w:widowControl/>
        <w:shd w:val="clear" w:color="auto" w:fill="FFFFFF"/>
        <w:spacing w:line="600" w:lineRule="exact"/>
        <w:jc w:val="center"/>
        <w:outlineLvl w:val="1"/>
        <w:rPr>
          <w:rFonts w:ascii="小标宋" w:eastAsia="小标宋" w:hAnsi="小标宋" w:cs="小标宋"/>
          <w:color w:val="333333"/>
          <w:kern w:val="0"/>
          <w:sz w:val="44"/>
          <w:szCs w:val="44"/>
        </w:rPr>
      </w:pPr>
      <w:r>
        <w:rPr>
          <w:rFonts w:ascii="小标宋" w:eastAsia="小标宋" w:hAnsi="小标宋" w:cs="小标宋" w:hint="eastAsia"/>
          <w:color w:val="333333"/>
          <w:kern w:val="0"/>
          <w:sz w:val="44"/>
          <w:szCs w:val="44"/>
        </w:rPr>
        <w:t>关于土地闲置费、城镇垃圾处理费划转</w:t>
      </w:r>
    </w:p>
    <w:p w:rsidR="00D5073C" w:rsidRDefault="00443EAE">
      <w:pPr>
        <w:widowControl/>
        <w:shd w:val="clear" w:color="auto" w:fill="FFFFFF"/>
        <w:spacing w:line="600" w:lineRule="exact"/>
        <w:jc w:val="center"/>
        <w:outlineLvl w:val="1"/>
        <w:rPr>
          <w:rFonts w:ascii="小标宋" w:eastAsia="小标宋" w:hAnsi="小标宋" w:cs="小标宋"/>
          <w:color w:val="333333"/>
          <w:kern w:val="0"/>
          <w:sz w:val="44"/>
          <w:szCs w:val="44"/>
        </w:rPr>
      </w:pPr>
      <w:r>
        <w:rPr>
          <w:rFonts w:ascii="小标宋" w:eastAsia="小标宋" w:hAnsi="小标宋" w:cs="小标宋" w:hint="eastAsia"/>
          <w:color w:val="333333"/>
          <w:kern w:val="0"/>
          <w:sz w:val="44"/>
          <w:szCs w:val="44"/>
        </w:rPr>
        <w:t>税务部门征收的通知</w:t>
      </w:r>
    </w:p>
    <w:p w:rsidR="00D5073C" w:rsidRDefault="00D5073C">
      <w:pPr>
        <w:widowControl/>
        <w:shd w:val="clear" w:color="auto" w:fill="FFFFFF"/>
        <w:spacing w:line="600" w:lineRule="exact"/>
        <w:jc w:val="center"/>
        <w:outlineLvl w:val="1"/>
        <w:rPr>
          <w:rFonts w:ascii="小标宋" w:eastAsia="小标宋" w:hAnsi="小标宋" w:cs="小标宋"/>
          <w:color w:val="333333"/>
          <w:kern w:val="0"/>
          <w:sz w:val="44"/>
          <w:szCs w:val="44"/>
        </w:rPr>
      </w:pPr>
    </w:p>
    <w:p w:rsidR="00D5073C" w:rsidRDefault="00443EAE">
      <w:pPr>
        <w:widowControl/>
        <w:shd w:val="clear" w:color="auto" w:fill="FFFFFF"/>
        <w:spacing w:line="520" w:lineRule="exact"/>
        <w:jc w:val="center"/>
        <w:rPr>
          <w:rFonts w:ascii="仿宋_GB2312" w:eastAsia="仿宋_GB2312" w:hAnsi="仿宋_GB2312" w:cs="仿宋_GB2312"/>
          <w:color w:val="333333"/>
          <w:kern w:val="0"/>
          <w:sz w:val="32"/>
          <w:szCs w:val="32"/>
        </w:rPr>
      </w:pPr>
      <w:bookmarkStart w:id="0" w:name="_GoBack"/>
      <w:r>
        <w:rPr>
          <w:rFonts w:ascii="仿宋_GB2312" w:eastAsia="仿宋_GB2312" w:hAnsi="仿宋_GB2312" w:cs="仿宋_GB2312" w:hint="eastAsia"/>
          <w:color w:val="333333"/>
          <w:kern w:val="0"/>
          <w:sz w:val="32"/>
          <w:szCs w:val="32"/>
        </w:rPr>
        <w:t>财税〔</w:t>
      </w:r>
      <w:r>
        <w:rPr>
          <w:rFonts w:ascii="仿宋_GB2312" w:eastAsia="仿宋_GB2312" w:hAnsi="仿宋_GB2312" w:cs="仿宋_GB2312" w:hint="eastAsia"/>
          <w:color w:val="333333"/>
          <w:kern w:val="0"/>
          <w:sz w:val="32"/>
          <w:szCs w:val="32"/>
        </w:rPr>
        <w:t>2021</w:t>
      </w:r>
      <w:r>
        <w:rPr>
          <w:rFonts w:ascii="仿宋_GB2312" w:eastAsia="仿宋_GB2312" w:hAnsi="仿宋_GB2312" w:cs="仿宋_GB2312" w:hint="eastAsia"/>
          <w:color w:val="333333"/>
          <w:kern w:val="0"/>
          <w:sz w:val="32"/>
          <w:szCs w:val="32"/>
        </w:rPr>
        <w:t>〕</w:t>
      </w:r>
      <w:r>
        <w:rPr>
          <w:rFonts w:ascii="仿宋_GB2312" w:eastAsia="仿宋_GB2312" w:hAnsi="仿宋_GB2312" w:cs="仿宋_GB2312" w:hint="eastAsia"/>
          <w:color w:val="333333"/>
          <w:kern w:val="0"/>
          <w:sz w:val="32"/>
          <w:szCs w:val="32"/>
        </w:rPr>
        <w:t>8</w:t>
      </w:r>
      <w:r>
        <w:rPr>
          <w:rFonts w:ascii="仿宋_GB2312" w:eastAsia="仿宋_GB2312" w:hAnsi="仿宋_GB2312" w:cs="仿宋_GB2312" w:hint="eastAsia"/>
          <w:color w:val="333333"/>
          <w:kern w:val="0"/>
          <w:sz w:val="32"/>
          <w:szCs w:val="32"/>
        </w:rPr>
        <w:t>号</w:t>
      </w:r>
    </w:p>
    <w:bookmarkEnd w:id="0"/>
    <w:p w:rsidR="00D5073C" w:rsidRDefault="00D5073C">
      <w:pPr>
        <w:widowControl/>
        <w:shd w:val="clear" w:color="auto" w:fill="FFFFFF"/>
        <w:spacing w:line="520" w:lineRule="exact"/>
        <w:jc w:val="center"/>
        <w:rPr>
          <w:rFonts w:ascii="仿宋_GB2312" w:eastAsia="仿宋_GB2312" w:hAnsi="仿宋_GB2312" w:cs="仿宋_GB2312"/>
          <w:color w:val="333333"/>
          <w:kern w:val="0"/>
          <w:sz w:val="32"/>
          <w:szCs w:val="32"/>
        </w:rPr>
      </w:pPr>
    </w:p>
    <w:p w:rsidR="00D5073C" w:rsidRDefault="00443EAE">
      <w:pPr>
        <w:widowControl/>
        <w:shd w:val="clear" w:color="auto" w:fill="FFFFFF"/>
        <w:spacing w:line="600" w:lineRule="exac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税务总局、自然资源部、住房城乡建设部：</w:t>
      </w:r>
    </w:p>
    <w:p w:rsidR="00D5073C" w:rsidRDefault="00443EAE">
      <w:pPr>
        <w:widowControl/>
        <w:shd w:val="clear" w:color="auto" w:fill="FFFFFF"/>
        <w:spacing w:line="600" w:lineRule="exac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　　为贯彻落实党中央、国务院关于政府非税收入征管职责划转的有关要求，平稳有序推进土地闲置费、城镇垃圾处理费划转工作，现就有关事项通知如下：</w:t>
      </w:r>
    </w:p>
    <w:p w:rsidR="00D5073C" w:rsidRDefault="00443EAE">
      <w:pPr>
        <w:widowControl/>
        <w:shd w:val="clear" w:color="auto" w:fill="FFFFFF"/>
        <w:spacing w:line="600" w:lineRule="exac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　　一、自</w:t>
      </w:r>
      <w:r>
        <w:rPr>
          <w:rFonts w:ascii="仿宋_GB2312" w:eastAsia="仿宋_GB2312" w:hAnsi="仿宋_GB2312" w:cs="仿宋_GB2312" w:hint="eastAsia"/>
          <w:color w:val="333333"/>
          <w:kern w:val="0"/>
          <w:sz w:val="32"/>
          <w:szCs w:val="32"/>
        </w:rPr>
        <w:t>2021</w:t>
      </w:r>
      <w:r>
        <w:rPr>
          <w:rFonts w:ascii="仿宋_GB2312" w:eastAsia="仿宋_GB2312" w:hAnsi="仿宋_GB2312" w:cs="仿宋_GB2312" w:hint="eastAsia"/>
          <w:color w:val="333333"/>
          <w:kern w:val="0"/>
          <w:sz w:val="32"/>
          <w:szCs w:val="32"/>
        </w:rPr>
        <w:t>年</w:t>
      </w:r>
      <w:r>
        <w:rPr>
          <w:rFonts w:ascii="仿宋_GB2312" w:eastAsia="仿宋_GB2312" w:hAnsi="仿宋_GB2312" w:cs="仿宋_GB2312" w:hint="eastAsia"/>
          <w:color w:val="333333"/>
          <w:kern w:val="0"/>
          <w:sz w:val="32"/>
          <w:szCs w:val="32"/>
        </w:rPr>
        <w:t>7</w:t>
      </w:r>
      <w:r>
        <w:rPr>
          <w:rFonts w:ascii="仿宋_GB2312" w:eastAsia="仿宋_GB2312" w:hAnsi="仿宋_GB2312" w:cs="仿宋_GB2312" w:hint="eastAsia"/>
          <w:color w:val="333333"/>
          <w:kern w:val="0"/>
          <w:sz w:val="32"/>
          <w:szCs w:val="32"/>
        </w:rPr>
        <w:t>月</w:t>
      </w: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日起，将自然资源部门负责征收的土地闲置费、住房城乡建设等部门负责征收的按行政事业性收费管理的城镇垃圾处理费划转至税务部门征收。征期在</w:t>
      </w:r>
      <w:r>
        <w:rPr>
          <w:rFonts w:ascii="仿宋_GB2312" w:eastAsia="仿宋_GB2312" w:hAnsi="仿宋_GB2312" w:cs="仿宋_GB2312" w:hint="eastAsia"/>
          <w:color w:val="333333"/>
          <w:kern w:val="0"/>
          <w:sz w:val="32"/>
          <w:szCs w:val="32"/>
        </w:rPr>
        <w:t>2021</w:t>
      </w:r>
      <w:r>
        <w:rPr>
          <w:rFonts w:ascii="仿宋_GB2312" w:eastAsia="仿宋_GB2312" w:hAnsi="仿宋_GB2312" w:cs="仿宋_GB2312" w:hint="eastAsia"/>
          <w:color w:val="333333"/>
          <w:kern w:val="0"/>
          <w:sz w:val="32"/>
          <w:szCs w:val="32"/>
        </w:rPr>
        <w:t>年</w:t>
      </w:r>
      <w:r>
        <w:rPr>
          <w:rFonts w:ascii="仿宋_GB2312" w:eastAsia="仿宋_GB2312" w:hAnsi="仿宋_GB2312" w:cs="仿宋_GB2312" w:hint="eastAsia"/>
          <w:color w:val="333333"/>
          <w:kern w:val="0"/>
          <w:sz w:val="32"/>
          <w:szCs w:val="32"/>
        </w:rPr>
        <w:t>7</w:t>
      </w:r>
      <w:r>
        <w:rPr>
          <w:rFonts w:ascii="仿宋_GB2312" w:eastAsia="仿宋_GB2312" w:hAnsi="仿宋_GB2312" w:cs="仿宋_GB2312" w:hint="eastAsia"/>
          <w:color w:val="333333"/>
          <w:kern w:val="0"/>
          <w:sz w:val="32"/>
          <w:szCs w:val="32"/>
        </w:rPr>
        <w:t>月</w:t>
      </w: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日以后（含）、所属期为</w:t>
      </w:r>
      <w:r>
        <w:rPr>
          <w:rFonts w:ascii="仿宋_GB2312" w:eastAsia="仿宋_GB2312" w:hAnsi="仿宋_GB2312" w:cs="仿宋_GB2312" w:hint="eastAsia"/>
          <w:color w:val="333333"/>
          <w:kern w:val="0"/>
          <w:sz w:val="32"/>
          <w:szCs w:val="32"/>
        </w:rPr>
        <w:t>2021</w:t>
      </w:r>
      <w:r>
        <w:rPr>
          <w:rFonts w:ascii="仿宋_GB2312" w:eastAsia="仿宋_GB2312" w:hAnsi="仿宋_GB2312" w:cs="仿宋_GB2312" w:hint="eastAsia"/>
          <w:color w:val="333333"/>
          <w:kern w:val="0"/>
          <w:sz w:val="32"/>
          <w:szCs w:val="32"/>
        </w:rPr>
        <w:t>年</w:t>
      </w:r>
      <w:r>
        <w:rPr>
          <w:rFonts w:ascii="仿宋_GB2312" w:eastAsia="仿宋_GB2312" w:hAnsi="仿宋_GB2312" w:cs="仿宋_GB2312" w:hint="eastAsia"/>
          <w:color w:val="333333"/>
          <w:kern w:val="0"/>
          <w:sz w:val="32"/>
          <w:szCs w:val="32"/>
        </w:rPr>
        <w:t>7</w:t>
      </w:r>
      <w:r>
        <w:rPr>
          <w:rFonts w:ascii="仿宋_GB2312" w:eastAsia="仿宋_GB2312" w:hAnsi="仿宋_GB2312" w:cs="仿宋_GB2312" w:hint="eastAsia"/>
          <w:color w:val="333333"/>
          <w:kern w:val="0"/>
          <w:sz w:val="32"/>
          <w:szCs w:val="32"/>
        </w:rPr>
        <w:t>月</w:t>
      </w:r>
      <w:r>
        <w:rPr>
          <w:rFonts w:ascii="仿宋_GB2312" w:eastAsia="仿宋_GB2312" w:hAnsi="仿宋_GB2312" w:cs="仿宋_GB2312" w:hint="eastAsia"/>
          <w:color w:val="333333"/>
          <w:kern w:val="0"/>
          <w:sz w:val="32"/>
          <w:szCs w:val="32"/>
        </w:rPr>
        <w:t>1</w:t>
      </w:r>
      <w:r>
        <w:rPr>
          <w:rFonts w:ascii="仿宋_GB2312" w:eastAsia="仿宋_GB2312" w:hAnsi="仿宋_GB2312" w:cs="仿宋_GB2312" w:hint="eastAsia"/>
          <w:color w:val="333333"/>
          <w:kern w:val="0"/>
          <w:sz w:val="32"/>
          <w:szCs w:val="32"/>
        </w:rPr>
        <w:t>日以前的上述收入，收缴及汇算清缴工作继续</w:t>
      </w:r>
      <w:proofErr w:type="gramStart"/>
      <w:r>
        <w:rPr>
          <w:rFonts w:ascii="仿宋_GB2312" w:eastAsia="仿宋_GB2312" w:hAnsi="仿宋_GB2312" w:cs="仿宋_GB2312" w:hint="eastAsia"/>
          <w:color w:val="333333"/>
          <w:kern w:val="0"/>
          <w:sz w:val="32"/>
          <w:szCs w:val="32"/>
        </w:rPr>
        <w:t>由原执收</w:t>
      </w:r>
      <w:proofErr w:type="gramEnd"/>
      <w:r>
        <w:rPr>
          <w:rFonts w:ascii="仿宋_GB2312" w:eastAsia="仿宋_GB2312" w:hAnsi="仿宋_GB2312" w:cs="仿宋_GB2312" w:hint="eastAsia"/>
          <w:color w:val="333333"/>
          <w:kern w:val="0"/>
          <w:sz w:val="32"/>
          <w:szCs w:val="32"/>
        </w:rPr>
        <w:t>（监缴）单位负责。</w:t>
      </w:r>
    </w:p>
    <w:p w:rsidR="00D5073C" w:rsidRDefault="00443EAE">
      <w:pPr>
        <w:widowControl/>
        <w:shd w:val="clear" w:color="auto" w:fill="FFFFFF"/>
        <w:spacing w:line="600" w:lineRule="exac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　　二、缴纳义务人或代征单位应当按规定的期限和程序，向税务部门申报和缴纳土地闲置费、城镇垃圾处理费。其中，土地闲置费根据自然资源部门出具的《征缴土地闲置费决定书》申报缴纳，税务部门为缴纳义务人开具缴费凭证，受理后要实时与自然资源部门</w:t>
      </w:r>
      <w:r>
        <w:rPr>
          <w:rFonts w:ascii="仿宋_GB2312" w:eastAsia="仿宋_GB2312" w:hAnsi="仿宋_GB2312" w:cs="仿宋_GB2312" w:hint="eastAsia"/>
          <w:color w:val="333333"/>
          <w:kern w:val="0"/>
          <w:sz w:val="32"/>
          <w:szCs w:val="32"/>
        </w:rPr>
        <w:t>推送的信息进行比对，并负责通过涉税渠道及时追缴。</w:t>
      </w:r>
    </w:p>
    <w:p w:rsidR="00D5073C" w:rsidRDefault="00443EAE">
      <w:pPr>
        <w:widowControl/>
        <w:shd w:val="clear" w:color="auto" w:fill="FFFFFF"/>
        <w:spacing w:line="600" w:lineRule="exac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lastRenderedPageBreak/>
        <w:t xml:space="preserve">　　三、税务部门应按照国库集中收缴制度等有关规定，依法依规开展收入征管工作，确保非税收</w:t>
      </w:r>
      <w:proofErr w:type="gramStart"/>
      <w:r>
        <w:rPr>
          <w:rFonts w:ascii="仿宋_GB2312" w:eastAsia="仿宋_GB2312" w:hAnsi="仿宋_GB2312" w:cs="仿宋_GB2312" w:hint="eastAsia"/>
          <w:color w:val="333333"/>
          <w:kern w:val="0"/>
          <w:sz w:val="32"/>
          <w:szCs w:val="32"/>
        </w:rPr>
        <w:t>入及时</w:t>
      </w:r>
      <w:proofErr w:type="gramEnd"/>
      <w:r>
        <w:rPr>
          <w:rFonts w:ascii="仿宋_GB2312" w:eastAsia="仿宋_GB2312" w:hAnsi="仿宋_GB2312" w:cs="仿宋_GB2312" w:hint="eastAsia"/>
          <w:color w:val="333333"/>
          <w:kern w:val="0"/>
          <w:sz w:val="32"/>
          <w:szCs w:val="32"/>
        </w:rPr>
        <w:t>足额入库。土地闲置费、城镇垃圾处理费划转税务部门征收以前欠缴的收入，由税务部门负责征缴入库。</w:t>
      </w:r>
    </w:p>
    <w:p w:rsidR="00D5073C" w:rsidRDefault="00443EAE">
      <w:pPr>
        <w:widowControl/>
        <w:shd w:val="clear" w:color="auto" w:fill="FFFFFF"/>
        <w:spacing w:line="600" w:lineRule="exac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　　四、各级税务部门要会同财政、自然资源、住房城乡建设等有关部门，按照“便民、高效”的原则，逐项确定职责划转后的征缴流程，不断提高征管效率，降低征管成本。涉及经费划转的，方案按程序报批。</w:t>
      </w:r>
    </w:p>
    <w:p w:rsidR="00D5073C" w:rsidRDefault="00443EAE">
      <w:pPr>
        <w:widowControl/>
        <w:shd w:val="clear" w:color="auto" w:fill="FFFFFF"/>
        <w:spacing w:line="600" w:lineRule="exac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　　五、税务部门征收土地闲置费、城镇垃圾处理费应当使用财政部统一监（印）制的非税收入票据</w:t>
      </w:r>
      <w:r>
        <w:rPr>
          <w:rFonts w:ascii="仿宋_GB2312" w:eastAsia="仿宋_GB2312" w:hAnsi="仿宋_GB2312" w:cs="仿宋_GB2312" w:hint="eastAsia"/>
          <w:color w:val="333333"/>
          <w:kern w:val="0"/>
          <w:sz w:val="32"/>
          <w:szCs w:val="32"/>
        </w:rPr>
        <w:t>，按照税务部门全国统一信息化方式规范管理。</w:t>
      </w:r>
    </w:p>
    <w:p w:rsidR="00D5073C" w:rsidRDefault="00443EAE">
      <w:pPr>
        <w:widowControl/>
        <w:shd w:val="clear" w:color="auto" w:fill="FFFFFF"/>
        <w:spacing w:line="600" w:lineRule="exac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　　六、资金入库后需要退库的，按照财政部门有关退库管理规定办理。其中，因缴费人误缴、税务部门误收以及汇算清缴需要退库的，由财政部门授权税务部门审核退库，具体由缴费人直接向税务部门申请办理。</w:t>
      </w:r>
    </w:p>
    <w:p w:rsidR="00D5073C" w:rsidRDefault="00443EAE">
      <w:pPr>
        <w:widowControl/>
        <w:shd w:val="clear" w:color="auto" w:fill="FFFFFF"/>
        <w:spacing w:line="600" w:lineRule="exact"/>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 xml:space="preserve">　　七、除本通知规定外，土地闲置费、城镇垃圾处理费的征收范围、对象、标准、分成、使用等政策继续按照现行规定执行。</w:t>
      </w:r>
    </w:p>
    <w:p w:rsidR="00D5073C" w:rsidRDefault="00443EAE">
      <w:pPr>
        <w:widowControl/>
        <w:shd w:val="clear" w:color="auto" w:fill="FFFFFF"/>
        <w:spacing w:line="600" w:lineRule="exact"/>
        <w:ind w:firstLine="647"/>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八、各级税务部门要会同财政、自然资源、住房城乡建设等有关部门做好业务交接衔接和信息系统互联互通工作，按期实现征管信息实时共享，并将计征、缴款等明细信息通过互联</w:t>
      </w:r>
      <w:r>
        <w:rPr>
          <w:rFonts w:ascii="仿宋_GB2312" w:eastAsia="仿宋_GB2312" w:hAnsi="仿宋_GB2312" w:cs="仿宋_GB2312" w:hint="eastAsia"/>
          <w:color w:val="333333"/>
          <w:kern w:val="0"/>
          <w:sz w:val="32"/>
          <w:szCs w:val="32"/>
        </w:rPr>
        <w:lastRenderedPageBreak/>
        <w:t>互通系</w:t>
      </w:r>
      <w:r>
        <w:rPr>
          <w:rFonts w:ascii="仿宋_GB2312" w:eastAsia="仿宋_GB2312" w:hAnsi="仿宋_GB2312" w:cs="仿宋_GB2312" w:hint="eastAsia"/>
          <w:color w:val="333333"/>
          <w:kern w:val="0"/>
          <w:sz w:val="32"/>
          <w:szCs w:val="32"/>
        </w:rPr>
        <w:t>统传递给财政、自然资源、住房城乡建设等相关部门。同时，向财政部门报送征收情况，并附文字说明材料。</w:t>
      </w:r>
    </w:p>
    <w:p w:rsidR="00D5073C" w:rsidRDefault="00D5073C">
      <w:pPr>
        <w:widowControl/>
        <w:shd w:val="clear" w:color="auto" w:fill="FFFFFF"/>
        <w:spacing w:line="600" w:lineRule="exact"/>
        <w:ind w:firstLine="647"/>
        <w:rPr>
          <w:rFonts w:ascii="仿宋_GB2312" w:eastAsia="仿宋_GB2312" w:hAnsi="仿宋_GB2312" w:cs="仿宋_GB2312"/>
          <w:color w:val="333333"/>
          <w:kern w:val="0"/>
          <w:sz w:val="32"/>
          <w:szCs w:val="32"/>
        </w:rPr>
      </w:pPr>
    </w:p>
    <w:p w:rsidR="00D5073C" w:rsidRDefault="00D5073C">
      <w:pPr>
        <w:widowControl/>
        <w:shd w:val="clear" w:color="auto" w:fill="FFFFFF"/>
        <w:spacing w:line="600" w:lineRule="exact"/>
        <w:ind w:firstLineChars="1900" w:firstLine="6080"/>
        <w:rPr>
          <w:rFonts w:ascii="仿宋_GB2312" w:eastAsia="仿宋_GB2312" w:hAnsi="仿宋_GB2312" w:cs="仿宋_GB2312"/>
          <w:color w:val="333333"/>
          <w:kern w:val="0"/>
          <w:sz w:val="32"/>
          <w:szCs w:val="32"/>
        </w:rPr>
      </w:pPr>
    </w:p>
    <w:p w:rsidR="00D5073C" w:rsidRDefault="00443EAE">
      <w:pPr>
        <w:widowControl/>
        <w:shd w:val="clear" w:color="auto" w:fill="FFFFFF"/>
        <w:spacing w:line="600" w:lineRule="exact"/>
        <w:ind w:firstLineChars="1900" w:firstLine="608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财政部</w:t>
      </w:r>
    </w:p>
    <w:p w:rsidR="00D5073C" w:rsidRDefault="00443EAE">
      <w:pPr>
        <w:widowControl/>
        <w:shd w:val="clear" w:color="auto" w:fill="FFFFFF"/>
        <w:spacing w:line="600" w:lineRule="exact"/>
        <w:ind w:firstLineChars="1700" w:firstLine="5440"/>
        <w:rPr>
          <w:rFonts w:ascii="仿宋_GB2312" w:eastAsia="仿宋_GB2312" w:hAnsi="仿宋_GB2312" w:cs="仿宋_GB2312"/>
          <w:color w:val="333333"/>
          <w:kern w:val="0"/>
          <w:sz w:val="32"/>
          <w:szCs w:val="32"/>
        </w:rPr>
      </w:pPr>
      <w:r>
        <w:rPr>
          <w:rFonts w:ascii="仿宋_GB2312" w:eastAsia="仿宋_GB2312" w:hAnsi="仿宋_GB2312" w:cs="仿宋_GB2312" w:hint="eastAsia"/>
          <w:color w:val="333333"/>
          <w:kern w:val="0"/>
          <w:sz w:val="32"/>
          <w:szCs w:val="32"/>
        </w:rPr>
        <w:t>2021</w:t>
      </w:r>
      <w:r>
        <w:rPr>
          <w:rFonts w:ascii="仿宋_GB2312" w:eastAsia="仿宋_GB2312" w:hAnsi="仿宋_GB2312" w:cs="仿宋_GB2312" w:hint="eastAsia"/>
          <w:color w:val="333333"/>
          <w:kern w:val="0"/>
          <w:sz w:val="32"/>
          <w:szCs w:val="32"/>
        </w:rPr>
        <w:t>年</w:t>
      </w:r>
      <w:r>
        <w:rPr>
          <w:rFonts w:ascii="仿宋_GB2312" w:eastAsia="仿宋_GB2312" w:hAnsi="仿宋_GB2312" w:cs="仿宋_GB2312" w:hint="eastAsia"/>
          <w:color w:val="333333"/>
          <w:kern w:val="0"/>
          <w:sz w:val="32"/>
          <w:szCs w:val="32"/>
        </w:rPr>
        <w:t>3</w:t>
      </w:r>
      <w:r>
        <w:rPr>
          <w:rFonts w:ascii="仿宋_GB2312" w:eastAsia="仿宋_GB2312" w:hAnsi="仿宋_GB2312" w:cs="仿宋_GB2312" w:hint="eastAsia"/>
          <w:color w:val="333333"/>
          <w:kern w:val="0"/>
          <w:sz w:val="32"/>
          <w:szCs w:val="32"/>
        </w:rPr>
        <w:t>月</w:t>
      </w:r>
      <w:r>
        <w:rPr>
          <w:rFonts w:ascii="仿宋_GB2312" w:eastAsia="仿宋_GB2312" w:hAnsi="仿宋_GB2312" w:cs="仿宋_GB2312" w:hint="eastAsia"/>
          <w:color w:val="333333"/>
          <w:kern w:val="0"/>
          <w:sz w:val="32"/>
          <w:szCs w:val="32"/>
        </w:rPr>
        <w:t>26</w:t>
      </w:r>
      <w:r>
        <w:rPr>
          <w:rFonts w:ascii="仿宋_GB2312" w:eastAsia="仿宋_GB2312" w:hAnsi="仿宋_GB2312" w:cs="仿宋_GB2312" w:hint="eastAsia"/>
          <w:color w:val="333333"/>
          <w:kern w:val="0"/>
          <w:sz w:val="32"/>
          <w:szCs w:val="32"/>
        </w:rPr>
        <w:t>日</w:t>
      </w:r>
    </w:p>
    <w:p w:rsidR="00D5073C" w:rsidRDefault="00D5073C">
      <w:pPr>
        <w:rPr>
          <w:rFonts w:ascii="仿宋" w:eastAsia="仿宋" w:hAnsi="仿宋" w:cs="仿宋"/>
          <w:sz w:val="32"/>
          <w:szCs w:val="32"/>
        </w:rPr>
      </w:pPr>
    </w:p>
    <w:p w:rsidR="00D5073C" w:rsidRDefault="00D5073C">
      <w:pPr>
        <w:rPr>
          <w:rFonts w:ascii="仿宋" w:eastAsia="仿宋" w:hAnsi="仿宋" w:cs="仿宋"/>
          <w:sz w:val="32"/>
          <w:szCs w:val="32"/>
        </w:rPr>
      </w:pPr>
    </w:p>
    <w:p w:rsidR="00D5073C" w:rsidRDefault="00D5073C">
      <w:pPr>
        <w:rPr>
          <w:rFonts w:ascii="仿宋" w:eastAsia="仿宋" w:hAnsi="仿宋" w:cs="仿宋"/>
          <w:sz w:val="32"/>
          <w:szCs w:val="32"/>
        </w:rPr>
      </w:pPr>
    </w:p>
    <w:p w:rsidR="00D5073C" w:rsidRDefault="00D5073C">
      <w:pPr>
        <w:rPr>
          <w:rFonts w:ascii="仿宋" w:eastAsia="仿宋" w:hAnsi="仿宋" w:cs="仿宋"/>
          <w:sz w:val="32"/>
          <w:szCs w:val="32"/>
        </w:rPr>
      </w:pPr>
    </w:p>
    <w:p w:rsidR="00D5073C" w:rsidRDefault="00D5073C">
      <w:pPr>
        <w:rPr>
          <w:rFonts w:ascii="仿宋" w:eastAsia="仿宋" w:hAnsi="仿宋" w:cs="仿宋"/>
          <w:sz w:val="32"/>
          <w:szCs w:val="32"/>
        </w:rPr>
      </w:pPr>
    </w:p>
    <w:p w:rsidR="00D5073C" w:rsidRDefault="00D5073C">
      <w:pPr>
        <w:rPr>
          <w:rFonts w:ascii="仿宋" w:eastAsia="仿宋" w:hAnsi="仿宋" w:cs="仿宋"/>
          <w:sz w:val="32"/>
          <w:szCs w:val="32"/>
        </w:rPr>
      </w:pPr>
    </w:p>
    <w:p w:rsidR="00D5073C" w:rsidRDefault="00D5073C">
      <w:pPr>
        <w:rPr>
          <w:rFonts w:ascii="仿宋" w:eastAsia="仿宋" w:hAnsi="仿宋" w:cs="仿宋"/>
          <w:sz w:val="32"/>
          <w:szCs w:val="32"/>
        </w:rPr>
      </w:pPr>
    </w:p>
    <w:p w:rsidR="00D5073C" w:rsidRDefault="00D5073C">
      <w:pPr>
        <w:rPr>
          <w:rFonts w:ascii="仿宋" w:eastAsia="仿宋" w:hAnsi="仿宋" w:cs="仿宋"/>
          <w:sz w:val="32"/>
          <w:szCs w:val="32"/>
        </w:rPr>
      </w:pPr>
    </w:p>
    <w:p w:rsidR="00D5073C" w:rsidRDefault="00D5073C">
      <w:pPr>
        <w:rPr>
          <w:rFonts w:ascii="仿宋" w:eastAsia="仿宋" w:hAnsi="仿宋" w:cs="仿宋"/>
          <w:sz w:val="32"/>
          <w:szCs w:val="32"/>
        </w:rPr>
      </w:pPr>
    </w:p>
    <w:p w:rsidR="00D5073C" w:rsidRDefault="00D5073C">
      <w:pPr>
        <w:rPr>
          <w:rFonts w:ascii="仿宋" w:eastAsia="仿宋" w:hAnsi="仿宋" w:cs="仿宋"/>
          <w:sz w:val="32"/>
          <w:szCs w:val="32"/>
        </w:rPr>
      </w:pPr>
    </w:p>
    <w:p w:rsidR="00D5073C" w:rsidRDefault="00D5073C">
      <w:pPr>
        <w:rPr>
          <w:rFonts w:ascii="仿宋" w:eastAsia="仿宋" w:hAnsi="仿宋" w:cs="仿宋"/>
          <w:sz w:val="32"/>
          <w:szCs w:val="32"/>
        </w:rPr>
      </w:pPr>
    </w:p>
    <w:p w:rsidR="00D5073C" w:rsidRDefault="00D5073C">
      <w:pPr>
        <w:rPr>
          <w:rFonts w:ascii="仿宋" w:eastAsia="仿宋" w:hAnsi="仿宋" w:cs="仿宋"/>
          <w:sz w:val="32"/>
          <w:szCs w:val="32"/>
        </w:rPr>
      </w:pPr>
    </w:p>
    <w:p w:rsidR="00D5073C" w:rsidRDefault="00443EAE">
      <w:pPr>
        <w:rPr>
          <w:rFonts w:ascii="仿宋" w:eastAsia="仿宋" w:hAnsi="仿宋" w:cs="仿宋"/>
          <w:sz w:val="32"/>
          <w:szCs w:val="32"/>
        </w:rPr>
      </w:pPr>
      <w:r>
        <w:rPr>
          <w:rFonts w:ascii="仿宋" w:eastAsia="仿宋" w:hAnsi="仿宋" w:cs="仿宋" w:hint="eastAsia"/>
          <w:sz w:val="32"/>
          <w:szCs w:val="32"/>
        </w:rPr>
        <w:t>http://szs.mof.gov.cn/zhengcefabu/202103/t20210331_3679281.htm</w:t>
      </w:r>
    </w:p>
    <w:sectPr w:rsidR="00D5073C" w:rsidSect="00D5073C">
      <w:pgSz w:w="11906" w:h="16838"/>
      <w:pgMar w:top="2098" w:right="1587" w:bottom="2098" w:left="158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6010"/>
    <w:rsid w:val="001F6010"/>
    <w:rsid w:val="00443EAE"/>
    <w:rsid w:val="008153AB"/>
    <w:rsid w:val="00D05F84"/>
    <w:rsid w:val="00D5073C"/>
    <w:rsid w:val="0FD53A31"/>
    <w:rsid w:val="38FA0C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7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Words>
  <Characters>885</Characters>
  <Application>Microsoft Office Word</Application>
  <DocSecurity>4</DocSecurity>
  <Lines>7</Lines>
  <Paragraphs>2</Paragraphs>
  <ScaleCrop>false</ScaleCrop>
  <Company>hz</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陈方园</cp:lastModifiedBy>
  <cp:revision>2</cp:revision>
  <dcterms:created xsi:type="dcterms:W3CDTF">2021-11-15T02:42:00Z</dcterms:created>
  <dcterms:modified xsi:type="dcterms:W3CDTF">2021-11-15T02:42:00Z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y fmtid="{D5CDD505-2E9C-101B-9397-08002B2CF9AE}" pid="3" name="ICV">
    <vt:lpwstr>AECF887D7A9248F0A8071D37284695F6</vt:lpwstr>
  </property>
</Properties>
</file>