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20"/>
          <w:kern w:val="2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2"/>
          <w:sz w:val="44"/>
          <w:szCs w:val="44"/>
          <w:highlight w:val="none"/>
          <w:lang w:val="en-US" w:eastAsia="zh-CN"/>
        </w:rPr>
        <w:t>“十项重大工程”主要指标</w:t>
      </w:r>
      <w:r>
        <w:rPr>
          <w:rFonts w:hint="default" w:ascii="Times New Roman" w:hAnsi="Times New Roman" w:eastAsia="方正小标宋简体" w:cs="Times New Roman"/>
          <w:color w:val="000000"/>
          <w:spacing w:val="20"/>
          <w:kern w:val="2"/>
          <w:sz w:val="44"/>
          <w:szCs w:val="44"/>
          <w:highlight w:val="none"/>
          <w:lang w:val="en-US" w:eastAsia="zh-CN"/>
        </w:rPr>
        <w:t>体系</w:t>
      </w:r>
    </w:p>
    <w:bookmarkEnd w:id="0"/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915"/>
        <w:gridCol w:w="465"/>
        <w:gridCol w:w="5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639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  <w:t>十项重大工程</w:t>
            </w:r>
          </w:p>
        </w:tc>
        <w:tc>
          <w:tcPr>
            <w:tcW w:w="700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  <w:t>主要指标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00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一、扩投资优结构增动能工程</w:t>
            </w:r>
          </w:p>
        </w:tc>
        <w:tc>
          <w:tcPr>
            <w:tcW w:w="915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省级</w:t>
            </w:r>
          </w:p>
        </w:tc>
        <w:tc>
          <w:tcPr>
            <w:tcW w:w="6085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固定资产投资增速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85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建筑安装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工程投资增速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85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省重大项目新建项目开工率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85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省重大项目投资完成率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5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金华</w:t>
            </w:r>
          </w:p>
        </w:tc>
        <w:tc>
          <w:tcPr>
            <w:tcW w:w="6085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金华市重点项目投资完成率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85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金华市重点新建项目开工率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85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百大标志性项目投资完成率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85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百大标志性新建项目开工率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5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义乌</w:t>
            </w:r>
          </w:p>
        </w:tc>
        <w:tc>
          <w:tcPr>
            <w:tcW w:w="6085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省重点工程投资完成率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85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省重点工程开工率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85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省集中开工项目开工率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85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专项债谋划储备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85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5.市重点项目投资完成率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639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二、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415X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先进制造业集群培育工程</w:t>
            </w:r>
          </w:p>
        </w:tc>
        <w:tc>
          <w:tcPr>
            <w:tcW w:w="915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省级</w:t>
            </w:r>
          </w:p>
        </w:tc>
        <w:tc>
          <w:tcPr>
            <w:tcW w:w="6085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.“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415X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先进制造业集群招引落地总投资10亿元（或1亿美元）以上制造业重大项目数量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85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.“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415X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先进制造业集群规上企业营业收入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85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规上工业增加值增速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85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制造业投资增速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85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规上工业亩均税收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6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  <w:t>十项重大工程</w:t>
            </w:r>
          </w:p>
        </w:tc>
        <w:tc>
          <w:tcPr>
            <w:tcW w:w="7000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  <w:t>主要指标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二、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415X</w:t>
            </w:r>
            <w:r>
              <w:rPr>
                <w:rFonts w:hint="default" w:ascii="仿宋_GB2312" w:hAnsi="仿宋_GB2312" w:eastAsia="仿宋_GB2312" w:cs="仿宋_GB2312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先进制造业集群培育工程</w:t>
            </w: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金华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.“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＋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＋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X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先进制造业集群规上工业总产值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新出让工业用地面积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十大重大制造业平台规上工业总产值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义乌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低效工业企业用地整治面积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新增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专精特新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企业（含小巨人）家数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新增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“小升规”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企业家数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新增智能工厂（数字化车间）家数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                     三、</w:t>
            </w:r>
            <w:r>
              <w:rPr>
                <w:rFonts w:hint="default" w:ascii="仿宋_GB2312" w:hAnsi="仿宋_GB2312" w:eastAsia="仿宋_GB2312" w:cs="仿宋_GB2312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334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科技创新体系建设工程</w:t>
            </w: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省级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R&amp;D经费支出占GDP比重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高新技术产业增加值占规上工业比重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.“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高地高新技术产业投资增速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.“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高地高新技术企业数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.“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高地重大创新平台投资额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.“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战略领域硬核科技成果数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金华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新增省科技型中小企业数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高新技术产业投资增速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义乌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规上服务业研发费用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规上服务业研发费用增幅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四、</w:t>
            </w:r>
            <w:r>
              <w:rPr>
                <w:rFonts w:hint="default" w:ascii="仿宋_GB2312" w:hAnsi="仿宋_GB2312" w:eastAsia="仿宋_GB2312" w:cs="仿宋_GB2312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3＋12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服务业高质量发展工程</w:t>
            </w: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省级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服务业增加值增速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创新发展区营业收入占比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规上服务业企业营业收入增速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省重大服务业项目年度投资计划完成率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规上软件与信息服务业营业收入增速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网络零售额增速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普惠型小微企业贷款同比增速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6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  <w:t>十项重大工程</w:t>
            </w:r>
          </w:p>
        </w:tc>
        <w:tc>
          <w:tcPr>
            <w:tcW w:w="7000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  <w:t>主要指标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四、</w:t>
            </w:r>
            <w:r>
              <w:rPr>
                <w:rFonts w:hint="default" w:ascii="仿宋_GB2312" w:hAnsi="仿宋_GB2312" w:eastAsia="仿宋_GB2312" w:cs="仿宋_GB2312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3＋12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服务业高质量发展工程</w:t>
            </w: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金华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其他营利性服务业规上企业营收增速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招引服务业重大项目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服务业小升规数量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义乌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省服务业重大项目开工率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其他营利性服务业工资总额收入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五、国际陆港和交通强市建设工程</w:t>
            </w: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省级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交通强省重大项目五年投资完成率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交通强省重大项目累计开工率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宁波舟山港</w:t>
            </w:r>
            <w:r>
              <w:rPr>
                <w:rFonts w:hint="eastAsia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集装箱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吞吐量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内陆无水港布局数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集装箱多式联运量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宁波舟山港货物吞吐量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万吨级以上专业化泊位数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中欧班列开行量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金华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综合交通投资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公路货运周转量增速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水路货运周转量增速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陆港货物吞吐量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内河港口吞吐量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500吨级泊位数量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中欧班列开行数量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海铁联运班列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快递业务量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客货邮新增合作线路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新增总部型物流企业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6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  <w:t>十项重大工程</w:t>
            </w:r>
          </w:p>
        </w:tc>
        <w:tc>
          <w:tcPr>
            <w:tcW w:w="7000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  <w:t>主要指标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五、国际陆港和交通强市建设工程</w:t>
            </w: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义乌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综合性服务站点个数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新建或提升农村公路公里数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六、县城承载能力提升和深化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千村示范、万村整治</w:t>
            </w:r>
            <w:r>
              <w:rPr>
                <w:rFonts w:hint="default" w:ascii="仿宋_GB2312" w:hAnsi="仿宋_GB2312" w:eastAsia="仿宋_GB2312" w:cs="仿宋_GB2312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工程</w:t>
            </w: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省级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县城人口占县域人口比重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省级及以上产业园区工业增加值占县域工业增加值比</w:t>
            </w:r>
            <w:r>
              <w:rPr>
                <w:rFonts w:hint="eastAsia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建成区路网密度（公里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/平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方公里）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集体经济年经营性收入50万元以上行政村占比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和美乡村建设覆盖率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全体居民人均可支配收入增速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城乡居民收入倍差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金华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农林牧渔增加值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农村集体经济经营性收入增幅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义乌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未来乡村特色村、样板村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城乡居民人均可支配收入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七、跨乡镇土地综合整治工程</w:t>
            </w: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省级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投资额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永久基本农田集中连片整治面积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高标准农田建设面积</w:t>
            </w:r>
            <w:r>
              <w:rPr>
                <w:rFonts w:hint="eastAsia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和改造面积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垦造耕地面积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建设用地复垦面积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低效建设用地整治盘活面积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金华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盘活存量建设用地面积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城镇低效用地再开发面积（包括低效工业用地整治、城市更新、村庄整治）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低效工业用地集中连片整治面积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低效工业企业整治提升面积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建成城乡风貌样板区及建成未来社区数量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6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  <w:t>十项重大工程</w:t>
            </w:r>
          </w:p>
        </w:tc>
        <w:tc>
          <w:tcPr>
            <w:tcW w:w="7000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  <w:t>主要指标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9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七、跨乡镇土地综合整治工程</w:t>
            </w: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义乌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美丽河湖建设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废弃矿山治理率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9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-6"/>
                <w:kern w:val="2"/>
                <w:sz w:val="24"/>
                <w:szCs w:val="24"/>
                <w:highlight w:val="none"/>
                <w:lang w:val="en-US" w:eastAsia="zh-CN"/>
              </w:rPr>
              <w:t>八、文旅深度融合工程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省级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文化和旅游产业增加值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重大文旅产业项目投资完成率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文旅融合产业增加值占文化和旅游产业增加值比重（%）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文旅市场主体增速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旅游总收入增速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全域旅游人次增速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金华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项目投资增速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旅游人次旅游收入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旅游收入增速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义乌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文旅项目投资额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旅游人次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旅游收入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9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九、能源绿色低碳发展和保供稳价工程</w:t>
            </w: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省级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能源项目年度投资完成率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年度新增电力装机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工商企业电价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单位GDP能耗下降率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金华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新增光伏并网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.新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增公用充换电站数量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义乌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新增分布式光伏发电项目完成率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2.新增新能源汽车公共充电桩数量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6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  <w:t>十项重大工程</w:t>
            </w:r>
          </w:p>
        </w:tc>
        <w:tc>
          <w:tcPr>
            <w:tcW w:w="7000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  <w:t>主要指标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十、公共服务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七优享</w:t>
            </w:r>
            <w:r>
              <w:rPr>
                <w:rFonts w:hint="default" w:ascii="仿宋_GB2312" w:hAnsi="仿宋_GB2312" w:eastAsia="仿宋_GB2312" w:cs="仿宋_GB2312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工程</w:t>
            </w: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省级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公共服务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“七优享”工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程重大项目进度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公共服务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“七优享”工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程民生实事进度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公共服务群众满意度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.每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千人口拥有3岁以下婴幼儿托位数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.新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增公办中小学学位数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.开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展职业教育培训数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欠薪线索动态化解率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基本医疗保险政策范围内住院报销比例（含大病保险）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城乡居民同质同标免费健康体检数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.每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万老年人口拥有持证养老护理员数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保障性租赁住房建设筹集数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级社会救助服务综合体覆盖率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金华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省市民生实事完成率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省市民生实事好评率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市民生实事完成率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市民生实事好评率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义乌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普惠性幼儿园在园幼儿占比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3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最低工资标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准（元/月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</w:tr>
    </w:tbl>
    <w:p>
      <w:pPr>
        <w:pStyle w:val="2"/>
        <w:rPr>
          <w:rFonts w:hint="eastAsia"/>
          <w:b w:val="0"/>
          <w:bCs w:val="0"/>
        </w:rPr>
      </w:pPr>
    </w:p>
    <w:p>
      <w:pPr>
        <w:pStyle w:val="3"/>
        <w:rPr>
          <w:rFonts w:hint="eastAsia"/>
          <w:b w:val="0"/>
          <w:bCs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643D42B7"/>
    <w:rsid w:val="643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ind w:firstLine="420" w:firstLineChars="200"/>
      <w:jc w:val="both"/>
    </w:pPr>
    <w:rPr>
      <w:rFonts w:eastAsia="微软雅黑"/>
      <w:lang w:val="en-US" w:eastAsia="zh-CN"/>
    </w:rPr>
  </w:style>
  <w:style w:type="paragraph" w:styleId="3">
    <w:name w:val="Body Text Indent"/>
    <w:basedOn w:val="1"/>
    <w:qFormat/>
    <w:uiPriority w:val="0"/>
    <w:pPr>
      <w:spacing w:line="530" w:lineRule="exact"/>
      <w:ind w:firstLine="600"/>
    </w:pPr>
    <w:rPr>
      <w:rFonts w:eastAsia="仿宋_GB2312"/>
      <w:spacing w:val="-10"/>
      <w:sz w:val="32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1953</Words>
  <Characters>2117</Characters>
  <Lines>0</Lines>
  <Paragraphs>0</Paragraphs>
  <TotalTime>0</TotalTime>
  <ScaleCrop>false</ScaleCrop>
  <LinksUpToDate>false</LinksUpToDate>
  <CharactersWithSpaces>2138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2023-05-11T01:39:00Z</dcterms:created>
  <dc:creator>龚秀娟</dc:creator>
  <cp:lastModifiedBy>龚秀娟</cp:lastModifiedBy>
  <dcterms:modified xsi:type="dcterms:W3CDTF">2023-05-11T01:39:55Z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9EFAEC8E69AB4CACBD28DF89C4A0C570_11</vt:lpwstr>
  </property>
</Properties>
</file>