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eastAsia="黑体"/>
          <w:sz w:val="32"/>
          <w:szCs w:val="32"/>
        </w:rPr>
      </w:pPr>
      <w:bookmarkStart w:id="0" w:name="_GoBack"/>
      <w:r>
        <w:rPr>
          <w:rFonts w:hint="eastAsia" w:eastAsia="黑体"/>
          <w:sz w:val="32"/>
          <w:szCs w:val="32"/>
        </w:rPr>
        <w:t>附件</w:t>
      </w:r>
      <w:r>
        <w:rPr>
          <w:rFonts w:eastAsia="黑体"/>
          <w:sz w:val="32"/>
          <w:szCs w:val="32"/>
        </w:rPr>
        <w:t>4</w:t>
      </w:r>
    </w:p>
    <w:p>
      <w:pPr>
        <w:spacing w:line="400" w:lineRule="exact"/>
        <w:rPr>
          <w:rFonts w:ascii="黑体" w:hAnsi="黑体" w:eastAsia="黑体" w:cs="黑体"/>
          <w:sz w:val="32"/>
          <w:szCs w:val="32"/>
        </w:rPr>
      </w:pPr>
    </w:p>
    <w:p>
      <w:pPr>
        <w:spacing w:line="700" w:lineRule="exact"/>
        <w:jc w:val="center"/>
        <w:rPr>
          <w:rFonts w:ascii="方正小标宋简体" w:hAnsi="方正小标宋简体" w:eastAsia="方正小标宋简体" w:cs="方正小标宋简体"/>
          <w:spacing w:val="20"/>
          <w:sz w:val="44"/>
          <w:szCs w:val="44"/>
          <w:lang w:bidi="ar"/>
        </w:rPr>
      </w:pPr>
      <w:r>
        <w:rPr>
          <w:rFonts w:hint="eastAsia" w:ascii="方正小标宋简体" w:hAnsi="方正小标宋简体" w:eastAsia="方正小标宋简体" w:cs="方正小标宋简体"/>
          <w:spacing w:val="20"/>
          <w:sz w:val="44"/>
          <w:szCs w:val="44"/>
        </w:rPr>
        <w:t>上溪、大陈、义亭、赤岸等</w:t>
      </w:r>
      <w:r>
        <w:rPr>
          <w:rFonts w:eastAsia="方正小标宋简体"/>
          <w:spacing w:val="20"/>
          <w:sz w:val="44"/>
          <w:szCs w:val="44"/>
        </w:rPr>
        <w:t>4</w:t>
      </w:r>
      <w:r>
        <w:rPr>
          <w:rFonts w:hint="eastAsia" w:ascii="方正小标宋简体" w:hAnsi="方正小标宋简体" w:eastAsia="方正小标宋简体" w:cs="方正小标宋简体"/>
          <w:spacing w:val="20"/>
          <w:sz w:val="44"/>
          <w:szCs w:val="44"/>
        </w:rPr>
        <w:t>个镇人民政府</w:t>
      </w:r>
      <w:r>
        <w:rPr>
          <w:rFonts w:hint="eastAsia" w:ascii="方正小标宋简体" w:hAnsi="方正小标宋简体" w:eastAsia="方正小标宋简体" w:cs="方正小标宋简体"/>
          <w:spacing w:val="20"/>
          <w:sz w:val="44"/>
          <w:szCs w:val="44"/>
          <w:lang w:bidi="ar"/>
        </w:rPr>
        <w:t>行政执法事项目录（</w:t>
      </w:r>
      <w:r>
        <w:rPr>
          <w:rFonts w:eastAsia="方正小标宋简体"/>
          <w:spacing w:val="20"/>
          <w:sz w:val="44"/>
          <w:szCs w:val="44"/>
          <w:lang w:bidi="ar"/>
        </w:rPr>
        <w:t>175</w:t>
      </w:r>
      <w:r>
        <w:rPr>
          <w:rFonts w:hint="eastAsia" w:ascii="方正小标宋简体" w:hAnsi="方正小标宋简体" w:eastAsia="方正小标宋简体" w:cs="方正小标宋简体"/>
          <w:spacing w:val="20"/>
          <w:sz w:val="44"/>
          <w:szCs w:val="44"/>
          <w:lang w:bidi="ar"/>
        </w:rPr>
        <w:t>项）</w:t>
      </w:r>
    </w:p>
    <w:p>
      <w:pPr>
        <w:spacing w:line="400" w:lineRule="exact"/>
        <w:jc w:val="center"/>
        <w:rPr>
          <w:rFonts w:ascii="方正小标宋简体" w:hAnsi="方正小标宋简体" w:eastAsia="方正小标宋简体" w:cs="方正小标宋简体"/>
          <w:spacing w:val="20"/>
          <w:sz w:val="44"/>
          <w:szCs w:val="44"/>
          <w:lang w:bidi="ar"/>
        </w:rPr>
      </w:pPr>
    </w:p>
    <w:bookmarkEnd w:id="0"/>
    <w:tbl>
      <w:tblPr>
        <w:tblStyle w:val="4"/>
        <w:tblW w:w="10491" w:type="dxa"/>
        <w:jc w:val="center"/>
        <w:tblLayout w:type="autofit"/>
        <w:tblCellMar>
          <w:top w:w="0" w:type="dxa"/>
          <w:left w:w="108" w:type="dxa"/>
          <w:bottom w:w="0" w:type="dxa"/>
          <w:right w:w="108" w:type="dxa"/>
        </w:tblCellMar>
      </w:tblPr>
      <w:tblGrid>
        <w:gridCol w:w="907"/>
        <w:gridCol w:w="2061"/>
        <w:gridCol w:w="6088"/>
        <w:gridCol w:w="1435"/>
      </w:tblGrid>
      <w:tr>
        <w:tblPrEx>
          <w:tblCellMar>
            <w:top w:w="0" w:type="dxa"/>
            <w:left w:w="108" w:type="dxa"/>
            <w:bottom w:w="0" w:type="dxa"/>
            <w:right w:w="108" w:type="dxa"/>
          </w:tblCellMar>
        </w:tblPrEx>
        <w:trPr>
          <w:trHeight w:val="600" w:hRule="atLeast"/>
          <w:tblHeader/>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序号</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事项代码</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事项名称</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划转范围</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ascii="黑体" w:hAnsi="黑体" w:eastAsia="黑体" w:cs="黑体"/>
                <w:bCs/>
                <w:color w:val="000000"/>
                <w:sz w:val="24"/>
              </w:rPr>
            </w:pPr>
            <w:r>
              <w:rPr>
                <w:rFonts w:hint="eastAsia" w:ascii="黑体" w:hAnsi="黑体" w:eastAsia="黑体" w:cs="黑体"/>
                <w:bCs/>
                <w:color w:val="000000"/>
                <w:kern w:val="0"/>
                <w:sz w:val="24"/>
                <w:lang w:bidi="ar"/>
              </w:rPr>
              <w:t>一、教育（</w:t>
            </w:r>
            <w:r>
              <w:rPr>
                <w:rFonts w:hint="eastAsia" w:eastAsia="黑体"/>
                <w:bCs/>
                <w:color w:val="000000"/>
                <w:kern w:val="0"/>
                <w:sz w:val="24"/>
                <w:lang w:bidi="ar"/>
              </w:rPr>
              <w:t>共</w:t>
            </w:r>
            <w:r>
              <w:rPr>
                <w:rFonts w:eastAsia="黑体"/>
                <w:bCs/>
                <w:color w:val="000000"/>
                <w:kern w:val="0"/>
                <w:sz w:val="24"/>
                <w:lang w:bidi="ar"/>
              </w:rPr>
              <w:t>1</w:t>
            </w:r>
            <w:r>
              <w:rPr>
                <w:rFonts w:hint="eastAsia" w:ascii="黑体" w:hAnsi="黑体" w:eastAsia="黑体" w:cs="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330205003000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对违反国家教育法或民办教育促进法，违规举办学校或者其他教育机构的行政处罚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二、民宗（共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330241021000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对在广场、公园、旅游景点、车站、码头、机场、医院、学校、体育场馆等公共场所散发宗教类出版物、印刷品或音像制品等进行传教的行政处罚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三、公安（共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330209922000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（金华）对养犬人违反规定未经登记，私自在重点管理区饲养犬只行为的行政处罚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330209915000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（金华）对从建筑物、构筑物内向外抛洒物品的行政处罚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330209028002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对在人行道违法停放非机动车的行政处罚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330209923000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（金华）对养犬人违反规定超养犬只行为的行政处罚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330209920000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（金华）对饲养犬只单位违反规定未配备犬笼、犬舍、围墙等封闭安全防护设施，未安排专人饲养和管理犬只的行政处罚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四、民政（共</w:t>
            </w:r>
            <w:r>
              <w:rPr>
                <w:rFonts w:eastAsia="黑体"/>
                <w:bCs/>
                <w:color w:val="000000"/>
                <w:kern w:val="0"/>
                <w:sz w:val="24"/>
                <w:lang w:bidi="ar"/>
              </w:rPr>
              <w:t>13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330211021002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对公墓建成时墓区绿地率不达标的行政处罚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573"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330211021001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对公墓建成使用满</w:t>
            </w:r>
            <w:r>
              <w:rPr>
                <w:rFonts w:eastAsia="仿宋_GB2312"/>
                <w:bCs/>
                <w:color w:val="000000"/>
                <w:spacing w:val="-6"/>
                <w:kern w:val="0"/>
                <w:sz w:val="24"/>
                <w:lang w:bidi="ar"/>
              </w:rPr>
              <w:t>9</w:t>
            </w:r>
            <w:r>
              <w:rPr>
                <w:rFonts w:hint="eastAsia" w:eastAsia="仿宋_GB2312"/>
                <w:bCs/>
                <w:color w:val="000000"/>
                <w:spacing w:val="-6"/>
                <w:kern w:val="0"/>
                <w:sz w:val="24"/>
                <w:lang w:bidi="ar"/>
              </w:rPr>
              <w:t>年后墓区绿化覆盖率不达标的行政处罚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21"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对倒卖墓穴和骨灰存放格位牟取非法利润的行政处罚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对乡村公益性墓地、骨灰存放处跨区域经营的行政处罚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330211017001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对公墓、乡村公益性墓地接纳土葬或骨灰装棺土葬的行政处罚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330211016003 </w:t>
            </w:r>
          </w:p>
        </w:tc>
        <w:tc>
          <w:tcPr>
            <w:tcW w:w="6387"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对在逐步推行火化区以外的区域制造、销售土葬用品的行政处罚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对制造、销售封建迷信殡葬用品的行政处罚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330211016001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对制造、销售不符合国家技术标准的殡葬设施的行政处罚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330211008002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对公墓超标准立墓碑的行政处罚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330211008001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对公墓超面积建造墓穴的行政处罚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对擅自开办公墓、乡村骨灰存放处和乡村公益性墓地的行政处罚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330211005000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对医院不制止擅自外运遗体且不报告的行政处罚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330211010000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对未经批准擅自兴建殡葬设施的行政处罚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五、人力资源社会保障（共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330214076000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对用人单位逾期不将童工送交监护人的行政处罚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330214069002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对用人单位未对未成年工定期进行健康检查的行政处罚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330214069001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对用人单位安排未成年工从事禁忌从事的劳动的行政处罚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330214044000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对娱乐场所招用未成年人的行政处罚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330214007000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对用人单位违法使用童工的行政处罚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六、自然资源（共</w:t>
            </w:r>
            <w:r>
              <w:rPr>
                <w:rFonts w:eastAsia="黑体"/>
                <w:bCs/>
                <w:color w:val="000000"/>
                <w:kern w:val="0"/>
                <w:sz w:val="24"/>
                <w:lang w:bidi="ar"/>
              </w:rPr>
              <w:t>13</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对未按照建设工程规划许可证的规定进行建设的行政处罚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330215041001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对未取得建设工程规划许可证进行建设的行政处罚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对建设单位或者个人未经批准进行临时建设的行政处罚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对房屋使用人擅自改变建设工程规划许可证确定的房屋用途的行政处罚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对建设单位或者个人未取得建设工程规划核实确认书组织建设工程竣工验收的行政处罚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330215070000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对供电、供水、供气等单位违规为单位或者个人就违法建筑办理供电、供水、供气等手续的行政处罚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对在燃气设施保护范围内建设占压地下燃气管线的建筑物、构筑物或者其他设施的行政处罚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对建设工程设计、施工单位违规承揽明知是违法建筑的项目设计或者施工作业的行政处罚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330215067000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对建设单位或者个人改变临时规划许可确定的建筑用途的行政处罚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对临时建筑物、构筑物超过批准期限不拆除的行政处罚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330215040002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对建设单位或者个人未按照批准内容进行临时建设的行政处罚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330215095000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对非法占用基本农田建房、建窑、建坟、挖砂、采矿、取土、堆放固体废弃物或者从事其他活动破坏基本农田，毁坏种植条件的行政处罚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330215096000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对占用耕地建窑、建坟或者擅自在耕地上建房、挖砂、采石、采矿、取土等，破坏种植条件的行政处罚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赋权对个人的行政处罚</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七、林业（共</w:t>
            </w:r>
            <w:r>
              <w:rPr>
                <w:rFonts w:eastAsia="黑体"/>
                <w:bCs/>
                <w:color w:val="000000"/>
                <w:kern w:val="0"/>
                <w:sz w:val="24"/>
                <w:lang w:bidi="ar"/>
              </w:rPr>
              <w:t>5</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330264115000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对损害古树名木的行政处罚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330264072000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对开垦、采石、采砂、采土等造成林木或林地毁坏的行政处罚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330264075000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对擅自改变林地用途的行政处罚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330264069002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对滥伐林木的行政处罚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330264069001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对盗伐林木的行政处罚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八、生态环境（共</w:t>
            </w:r>
            <w:r>
              <w:rPr>
                <w:rFonts w:eastAsia="黑体"/>
                <w:bCs/>
                <w:color w:val="000000"/>
                <w:kern w:val="0"/>
                <w:sz w:val="24"/>
                <w:lang w:bidi="ar"/>
              </w:rPr>
              <w:t>16</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330216317000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对在禁止养殖区域内建设畜禽养殖场、养殖小区的行政处罚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330216239000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对未经处理直接向环境排放畜禽养殖废弃物或者未采取有效措施，导致畜禽养殖废弃物渗出、泄漏等行为的行政处罚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330216203000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对将秸秆、食用菌菌糠和菌渣、废农膜随意倾倒或弃留的行政处罚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330216182000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对从事畜禽规模养殖未及时收集、贮存、利用或者处置养殖过程中产生的畜禽粪污等固体废物的行政处罚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对露天焚烧秸秆、落叶等产生烟尘污染物质的行政处罚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对违法在人口集中和其他需特殊保护区域焚烧产生有毒有害烟尘和恶臭气体的行政处罚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330216107002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对个人未按照规定停止燃用高污染燃料的行政处罚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330216090001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对个人存放煤炭、煤矸石、煤渣、煤灰等物料，未采取防燃措施的行政处罚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330216310004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对运输过程中沿途丢弃、遗撒工业固体废物行为的行政处罚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330216227000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对饮用水水源一级保护区从事可能污染水体的活动以及个人从事可能污染水体活动的行政处罚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对在水体清洗装贮过油类、有毒污染物的车辆或容器等的行政处罚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330216132002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对向水体排放、倾倒工业废渣、城镇垃圾或者其他废弃物等违法行为的行政处罚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对经营者未采取其他措施，超标排放油烟的行政处罚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对在居民住宅楼、未配套设立专用烟道的商住综合楼、商住综合楼内与居住层相邻的商业楼层内新改扩建产生油烟、异味、废气的餐饮服务项目的行政处罚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330216280000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对在当地人民政府禁止的时段和区域内露天烧烤食品或者为露天烧烤食品提供场地的行政处罚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330216279001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对经营者未安装净化设施、不正常使用净化设施的行政处罚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九、建设（共</w:t>
            </w:r>
            <w:r>
              <w:rPr>
                <w:rFonts w:eastAsia="黑体"/>
                <w:bCs/>
                <w:color w:val="000000"/>
                <w:kern w:val="0"/>
                <w:sz w:val="24"/>
                <w:lang w:bidi="ar"/>
              </w:rPr>
              <w:t>74</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对在树木、地面、电杆、建筑物、构筑物或者其他设施上任意刻画、涂写、张贴的行政处罚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330217F49000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（金华）对在学校周边、城市道路、广场等公共场所散发商业性传单、卡片等广告宣传品的行政处罚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对沿街和广场周边的经营者擅自超出门、窗进行店外经营、作业或者展示商品的行政处罚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对从事车辆清洗或者维修、废品收购、废弃物接纳作业的单位和个人未采取有效措施防止污水外流或者将废弃物向外洒落的行政处罚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330217197006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对乱倒生活垃圾、污水、粪便的行政处罚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对在露天场所和垃圾收集容器内焚烧树叶、垃圾或者其他废弃物的行政处罚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330217224002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对建设工程的施工现场未设置临时厕所和生活垃圾收集容器，保持整洁、完好，或未采取有效措施防止污水流溢的行政处罚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对居民装修房屋产生的建筑垃圾未堆放到指定地点的行政处罚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对主要街道和重点地区临街建筑物阳台外、窗外、屋顶吊挂或者堆放有关物品的行政处罚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330217B22001</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对在公厕内乱丢垃圾或污物、随地吐痰、乱涂乱画的行政处罚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330217490000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对新建的架空管线不符合城市容貌标准或者在城市、县人民政府确定的重要街道和重要区块的公共场所上空新建架空管线的行政处罚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330217454000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对擅自在街道两侧和公共场地堆放物料，搭建建筑物、构筑物或其他设施的行政处罚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330217450000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对建筑物或设施不符合城市容貌标准、环境卫生标准的行政处罚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对作业单位未及时清运、处理清理窨井淤泥产生的废弃物并随意堆放，未清洗作业场地的行政处罚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330217283000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对作业单位未及时清理因栽培或者修剪树木、花草等产生的树枝、树叶等废弃物的行政处罚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330217248002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对单位和个人在城市道路、公园绿地和其他公共场所公共设施上晾晒、吊挂衣物的行政处罚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对饲养人未及时清理宠物在城市道路和其他公共场地排放的粪便，饲养宠物和信鸽污染环境的行政处罚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330217197005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对乱扔果皮、纸屑、烟蒂、饮料罐、口香糖、塑料袋等废弃物的行政处罚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对随地吐痰、便溺的行政处罚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330217197002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对主要街道和重点地区临街建筑物外立面安装窗栏、空调外机、遮阳篷等不符合有关规范要求的行政处罚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对擅自占用城市人行道、桥梁、地下通道以及其他公共场所设摊经营、兜售物品的行政处罚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330217E92000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对互联网租赁自行车运营企业未按规定履行企业主体责任或未按规定遵守管理要求和履行相关义务的行政处罚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330217F64003</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（金华）对在街道、广场等公共场所屠宰家禽家畜，加工肉类或水产品的行政处罚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330217F64002</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（金华）对向花坛、绿化带、窨井扫入或倾倒垃圾等废弃物的行政处罚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330217F64001</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（金华）对将室内、门前或责任区内的垃圾扫入道路或他人责任区的行政处罚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330217F63000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（金华）对活动结束后未及时拆除临时设施和清除废弃物，未保持周围市容和环境卫生整洁的行政处罚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330217F62003</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（金华）对未自备垃圾分类收集容器，未能保持摊架、摊棚和地面清洁的行政处罚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330217F62002</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（金华）对非营业时间未将经营用具搬离或未按规定整理收纳的行政处罚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330217F62001</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（金华）对未按规定的场所、时段、种类经营的行政处罚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330217F46000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（金华）对公共设施未及时整修或拆除的行政处罚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330217F47000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（金华）对在当地人民政府禁止的时段和区域内露天烧烤食品或为露天烧烤食品提供场地的行政处罚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330217260000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对户外广告设施以及非广告的户外设施不符合城市容貌标准的行政处罚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330217265000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对户外设施的设置单位未做好日常维护保养等管理工作的行政处罚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330217157009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对未保证城市生活垃圾处置站、场（厂）环境整洁的行政处罚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330217157008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对未按照要求配备城市生活垃圾处置设备、设施，未保证设施、设备运行良好的行政处罚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330217014000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对随意倾倒、抛撒或者堆放建筑垃圾的行政处罚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对将危险废物混入建筑垃圾的行政处罚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对擅自设立弃置场受纳建筑垃圾的行政处罚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330217167004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对将建筑垃圾混入生活垃圾的行政处罚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330217179000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对不按照规定路线、时间清运建筑垃圾，沿途丢弃、遗撒、随意倾倒的行政处罚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330217431000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对建筑垃圾储运消纳场受纳工业垃圾、生活垃圾和有毒有害垃圾的行政处罚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330217E15000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对工程施工单位擅自倾倒、抛撒或堆放工程施工过程中产生的建筑垃圾的行政处罚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对单位和个人未按规定分类投放生活垃圾的行政处罚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330217168000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对生活垃圾分类投放管理责任人未履行生活垃圾分类投放管理责任的行政处罚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对生活垃圾收集、运输单位对分类投放的生活垃圾混合收集、运输的行政处罚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330217440000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对建筑施工企业或农村建筑工匠承接未取得批准文件的低层农村住房施工工程等的行政处罚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330217439000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对建房村民未按规定组织竣工验收等的行政处罚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330217E71000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对建设工程设计单位或设计人员未按工程建设强制性标准进行低层农村住房设计，不符合规定的单位或个人承接低层农村住房设计业务的行政处罚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对加热、摔砸、倒卧、曝晒燃气气瓶或者改换气瓶检验标志、漆色的行为的行政处罚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330217222005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对在不具备安全条件的场所使用、储存燃气的行政处罚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330217222008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对燃气燃烧器具的安装、维修不符合国家有关标准的行政处罚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对使用国家明令淘汰的燃气燃烧器具的行为的行政处罚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330217252001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对未取得瓶装燃气经营许可证从事经营活动的行政处罚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330217263000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对侵占、毁损、擅自拆除、移动燃气设施或者擅自改动市政燃气设施的行政处罚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对擅自安装、改装、拆除户内燃气设施和燃气计量装置的行政处罚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330217222003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对安装、使用不符合气源要求的燃气燃烧器具的行政处罚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330217142006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对进行危害室内燃气设施安全的装饰、装修活动的行为的行政处罚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330217142005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对倾倒燃气残液或者用气瓶相互倒灌的行为的行政处罚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330217142003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对使用非法制造、报废、改装的气瓶或者超期限未检验、检验不合格的气瓶的行为的行政处罚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对随意倾倒、抛洒、堆放城市生活垃圾的行政处罚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对未在规定的时间内及时清扫、收运城市生活垃圾的行政处罚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330217233000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对未按规定缴纳城市生活垃圾处理费的行政处罚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对未经批准从事城市生活垃圾经营性处置活动的行政处罚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330217226001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对未经批准从事城市生活垃圾经营性清扫、收集、运输活动的行政处罚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330217215000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对从事城市生活垃圾经营性清扫、收集、运输的企业在运输过程中沿途丢弃、遗撒生活垃圾的行政处罚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330217157010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对未按照要求配备合格的管理人员及操作人员的行政处罚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330217157007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对未按规定的时间和要求接收生活垃圾的行政处罚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330217157004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对未做到收集、运输城市生活垃圾的车辆、船舶密闭、完好和整洁的行政处罚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330217157003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对未保持生活垃圾收集设施和周边环境的干净整洁的行政处罚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330217157002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对未将收集的城市生活垃圾运至主管部门认可的处置场所的行政处罚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330217E16000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对在运输过程中沿途丢弃、遗撒生活垃圾的行政处罚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330217E14000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对随意倾倒、抛洒、堆放、焚烧生活垃圾的行政处罚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330217238006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对擅自在桥梁或者路灯设施上设置广告牌或者其他挂浮物的行政处罚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330217186002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对擅自在城市桥梁上设置广告、悬挂物等辅助物的行政处罚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十、交通运输（共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9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330218769000</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对未取得道路运输经营许可，擅自从事道路运输经营的行政处罚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部分（划转涉及摩托车载客的行政处罚）</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十一、水利（共</w:t>
            </w:r>
            <w:r>
              <w:rPr>
                <w:rFonts w:eastAsia="黑体"/>
                <w:bCs/>
                <w:color w:val="000000"/>
                <w:kern w:val="0"/>
                <w:sz w:val="24"/>
                <w:lang w:bidi="ar"/>
              </w:rPr>
              <w:t>10</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330219162000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对在河道管理范围内从事禁止行为的行政处罚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330219157001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对未经批准或未按批准要求取水的行政处罚</w:t>
            </w:r>
          </w:p>
        </w:tc>
        <w:tc>
          <w:tcPr>
            <w:tcW w:w="1478"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16"/>
                <w:kern w:val="0"/>
                <w:sz w:val="24"/>
                <w:lang w:bidi="ar"/>
              </w:rPr>
              <w:t>部分（不含吊销取水许可证）</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330219112000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对河道采砂中未按照规定设立公示牌或者警示标志的行政处罚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330219107000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对未经许可在河道管理范围内从事有关活动（不含河道采砂）的行政处罚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330219090000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对河道管理范围内从事妨害行洪活动的行政处罚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330219084000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对河道管理范围内的建设活动，施工方案未报备、临时工程未经批准及未按要求采取修复恢复措施的行政处罚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330219082000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对在河道管理范围内未经批准或未按批准要求建设水工程以及涉河建筑物、构筑物的行政处罚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330219068000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spacing w:val="-6"/>
                <w:kern w:val="0"/>
                <w:sz w:val="24"/>
                <w:lang w:bidi="ar"/>
              </w:rPr>
              <w:t>对擅自移动、损毁河道管理范围的界桩或者公告牌的行政处罚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330219067000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对未经批准或不按批准要求在河道、湖泊管理范围内从事工程设施建设活动的行政处罚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330219007000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对未经许可擅自在河道采砂的行政处罚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黑体"/>
                <w:bCs/>
                <w:color w:val="000000"/>
                <w:kern w:val="0"/>
                <w:sz w:val="24"/>
                <w:lang w:bidi="ar"/>
              </w:rPr>
              <w:t>十二、农业农村（共</w:t>
            </w:r>
            <w:r>
              <w:rPr>
                <w:rFonts w:eastAsia="黑体"/>
                <w:bCs/>
                <w:color w:val="000000"/>
                <w:kern w:val="0"/>
                <w:sz w:val="24"/>
                <w:lang w:bidi="ar"/>
              </w:rPr>
              <w:t>11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eastAsia="仿宋_GB2312"/>
                <w:bCs/>
                <w:color w:val="000000"/>
                <w:kern w:val="0"/>
                <w:sz w:val="24"/>
                <w:lang w:bidi="ar"/>
              </w:rPr>
              <w:t xml:space="preserve">330220315000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对偷捕、抢夺他人养殖的水产品，或破坏他人养殖水体、养殖设施的行政处罚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对使用电鱼、炸鱼方法进行捕捞及使用禁用的渔具、捕捞方法进行捕捞的行政处罚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330220241000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对未经批准非法向农民发放牌照、证件和簿册的行政处罚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330220206000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对未经批准擅自向农民收取行政事业性费用的行政处罚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330220141000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对违反规定超过批准的收费标准收取服务费的行政处罚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330220119000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对行政机关违反法律、法规和规章的规定，要求履行义务、增加农民负担的行政处罚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330220097000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对被审计单位有公款私存、设</w:t>
            </w:r>
            <w:r>
              <w:rPr>
                <w:rFonts w:hint="eastAsia" w:ascii="仿宋_GB2312" w:eastAsia="仿宋_GB2312"/>
                <w:bCs/>
                <w:color w:val="000000"/>
                <w:kern w:val="0"/>
                <w:sz w:val="24"/>
                <w:lang w:bidi="ar"/>
              </w:rPr>
              <w:t>立“小金库”</w:t>
            </w:r>
            <w:r>
              <w:rPr>
                <w:rFonts w:hint="eastAsia" w:eastAsia="仿宋_GB2312"/>
                <w:bCs/>
                <w:color w:val="000000"/>
                <w:kern w:val="0"/>
                <w:sz w:val="24"/>
                <w:lang w:bidi="ar"/>
              </w:rPr>
              <w:t>或账外账、白条抵库、收入不入账、违反规定发放资金、实物等违反财务收支行为的行政处罚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8</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330220057000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对被审计单位拒绝、拖延提供与审计事项有关资料等行为的行政处罚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9</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330220049000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textAlignment w:val="center"/>
              <w:rPr>
                <w:rFonts w:eastAsia="仿宋_GB2312"/>
                <w:bCs/>
                <w:color w:val="000000"/>
                <w:sz w:val="24"/>
              </w:rPr>
            </w:pPr>
            <w:r>
              <w:rPr>
                <w:rFonts w:hint="eastAsia" w:eastAsia="仿宋_GB2312"/>
                <w:bCs/>
                <w:color w:val="000000"/>
                <w:kern w:val="0"/>
                <w:sz w:val="24"/>
                <w:lang w:bidi="ar"/>
              </w:rPr>
              <w:t>对在实行城市市容和环境卫生管理的区域外，随意倾倒或者堆放生活垃圾、餐厨垃圾、建筑垃圾等废弃物或者废旧物品的行政处罚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330220397002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对使用毒鱼方法进行捕捞的行政处罚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部分（吊销捕捞许可证除外）</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330220048000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对农村村民未经批准或采取欺骗手段骗取批准，非法占用土地建住宅的行政处罚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十三、卫生健康（共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1537"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330223071012</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对单位或个人未经批准擅自开办医疗机构行医或非医师行医的行政处罚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部分（划转在室外未经批准开办医疗机构行医或非医师行医的行政处罚，吊销医师执业证书除外）</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十四、应急管理（共</w:t>
            </w:r>
            <w:r>
              <w:rPr>
                <w:rFonts w:eastAsia="黑体"/>
                <w:bCs/>
                <w:color w:val="000000"/>
                <w:kern w:val="0"/>
                <w:sz w:val="24"/>
                <w:lang w:bidi="ar"/>
              </w:rPr>
              <w:t>4</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330225023009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对烟花爆竹零售单位未在核准的地点经营，或销售经营所在地县级以上人民政府规定禁止燃放的烟花爆竹的行政处罚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部分（其中对烟花爆竹批发经营企业违法行为的行政处罚不划转）</w:t>
            </w:r>
          </w:p>
        </w:tc>
      </w:tr>
      <w:tr>
        <w:tblPrEx>
          <w:tblCellMar>
            <w:top w:w="0" w:type="dxa"/>
            <w:left w:w="108" w:type="dxa"/>
            <w:bottom w:w="0" w:type="dxa"/>
            <w:right w:w="108" w:type="dxa"/>
          </w:tblCellMar>
        </w:tblPrEx>
        <w:trPr>
          <w:trHeight w:val="3724"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330225023008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spacing w:val="-6"/>
                <w:kern w:val="0"/>
                <w:sz w:val="24"/>
                <w:lang w:bidi="ar"/>
              </w:rPr>
              <w:t>对烟花爆竹零售单位拒绝、阻碍负有安全生产监督管理职责的部门依法实施监督检查的行政处罚（划转综合行政执法部门）</w:t>
            </w:r>
          </w:p>
        </w:tc>
        <w:tc>
          <w:tcPr>
            <w:tcW w:w="1478" w:type="dxa"/>
            <w:tcBorders>
              <w:top w:val="single" w:color="000000" w:sz="4" w:space="0"/>
              <w:left w:val="single" w:color="000000" w:sz="4" w:space="0"/>
              <w:bottom w:val="single" w:color="000000" w:sz="4" w:space="0"/>
              <w:right w:val="single" w:color="000000" w:sz="4" w:space="0"/>
            </w:tcBorders>
            <w:noWrap w:val="0"/>
            <w:tcMar>
              <w:top w:w="0" w:type="dxa"/>
              <w:left w:w="57" w:type="dxa"/>
              <w:bottom w:w="0" w:type="dxa"/>
              <w:right w:w="57" w:type="dxa"/>
            </w:tcMar>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8"/>
                <w:kern w:val="0"/>
                <w:sz w:val="24"/>
                <w:lang w:bidi="ar"/>
              </w:rPr>
              <w:t>部分（划转综合行政执法部门在其依法实施安全生产监督检查过程中，烟花爆竹零售单位拒绝、阻碍其监督检查的行政处罚）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330225023007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对烟花爆竹零售单位未按规定落实存放管理的行政处罚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330225023001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对未取得烟花爆竹零售经营许可证经营的行政处罚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部分（其中对未经许可生产、批发经营烟花爆竹制品的处罚不划转）</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十五、广电（共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330232027000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对擅自安装和使用卫星地面接收设施的行政处罚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十六、市场监管（共</w:t>
            </w:r>
            <w:r>
              <w:rPr>
                <w:rFonts w:eastAsia="黑体"/>
                <w:bCs/>
                <w:color w:val="000000"/>
                <w:kern w:val="0"/>
                <w:sz w:val="24"/>
                <w:lang w:bidi="ar"/>
              </w:rPr>
              <w:t>1</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330231076001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对室外公共场所无照经营的行政处罚（划归综合执法）</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部分（划转室外公共场所无照经营的行政处罚）</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十七、消防救援（共</w:t>
            </w:r>
            <w:r>
              <w:rPr>
                <w:rFonts w:eastAsia="黑体"/>
                <w:bCs/>
                <w:color w:val="000000"/>
                <w:kern w:val="0"/>
                <w:sz w:val="24"/>
                <w:lang w:bidi="ar"/>
              </w:rPr>
              <w:t>6</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330295060000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对私拉电线和插座给电动车充电的行政处罚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部分（划转在城市道路上私拉电线和插座给电动车充电的行政处罚）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330295046000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对埋压、圈占、遮挡消火栓的行政处罚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部分（划转埋压、圈占、遮挡城市道路上的消火栓的行政处罚）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330295024000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对人员密集场所门窗设置影响逃生、灭火救援的障碍物的行政处罚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部分（划转沿城市道路的人员密集场所门窗设置影响逃生、灭火救援的障碍物的行政处罚）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330295022000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对占用、堵塞、封闭消防车通道的行政处罚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部分（划转占用、堵塞、封闭城市道路上的消防车通道的行政处罚）</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对建筑物外墙装修装饰、建筑屋面使用及广告牌的设置影响防火、逃生的行政处罚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330295016000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对占用、堵塞、封闭消防登高场地的行政处罚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部分（划转占用、堵塞、封闭城市道路上的消防登高场地的行政处罚）</w:t>
            </w:r>
          </w:p>
        </w:tc>
      </w:tr>
      <w:tr>
        <w:tblPrEx>
          <w:tblCellMar>
            <w:top w:w="0" w:type="dxa"/>
            <w:left w:w="108" w:type="dxa"/>
            <w:bottom w:w="0" w:type="dxa"/>
            <w:right w:w="108" w:type="dxa"/>
          </w:tblCellMar>
        </w:tblPrEx>
        <w:trPr>
          <w:trHeight w:val="600" w:hRule="atLeast"/>
          <w:jc w:val="center"/>
        </w:trPr>
        <w:tc>
          <w:tcPr>
            <w:tcW w:w="1049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黑体"/>
                <w:bCs/>
                <w:color w:val="000000"/>
                <w:kern w:val="0"/>
                <w:sz w:val="24"/>
                <w:lang w:bidi="ar"/>
              </w:rPr>
              <w:t>十八、气象（共</w:t>
            </w:r>
            <w:r>
              <w:rPr>
                <w:rFonts w:eastAsia="黑体"/>
                <w:bCs/>
                <w:color w:val="000000"/>
                <w:kern w:val="0"/>
                <w:sz w:val="24"/>
                <w:lang w:bidi="ar"/>
              </w:rPr>
              <w:t>7</w:t>
            </w:r>
            <w:r>
              <w:rPr>
                <w:rFonts w:hint="eastAsia" w:eastAsia="黑体"/>
                <w:bCs/>
                <w:color w:val="000000"/>
                <w:kern w:val="0"/>
                <w:sz w:val="24"/>
                <w:lang w:bidi="ar"/>
              </w:rPr>
              <w:t>项）</w:t>
            </w:r>
          </w:p>
        </w:tc>
      </w:tr>
      <w:tr>
        <w:tblPrEx>
          <w:tblCellMar>
            <w:top w:w="0" w:type="dxa"/>
            <w:left w:w="108" w:type="dxa"/>
            <w:bottom w:w="0" w:type="dxa"/>
            <w:right w:w="108" w:type="dxa"/>
          </w:tblCellMar>
        </w:tblPrEx>
        <w:trPr>
          <w:trHeight w:val="88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对被许可单位以欺骗、贿赂等不正当手段取得升放气球资质的行政处罚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部分（撤销升放气球资质除外）</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330254018000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对未取得升放气球资质证从事升放气球活动的行政处罚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330254021000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对申请单位隐瞒有关情况、提供虚假材料申请升放气球活动许可的行政处罚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对涂改、伪造、倒卖、出租、出借、挂靠、转让《升放气球资质证》或者许可文件的情形的行政处罚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330254027000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对违反升放无人驾驶自由气球或者系留气球活动安全管理规定的行政处罚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60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330254035000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对申请单位隐瞒有关情况、提供虚假材料申请升放气球资质认定的行政处罚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kern w:val="0"/>
                <w:sz w:val="24"/>
                <w:lang w:bidi="ar"/>
              </w:rPr>
              <w:t>全部</w:t>
            </w:r>
          </w:p>
        </w:tc>
      </w:tr>
      <w:tr>
        <w:tblPrEx>
          <w:tblCellMar>
            <w:top w:w="0" w:type="dxa"/>
            <w:left w:w="108" w:type="dxa"/>
            <w:bottom w:w="0" w:type="dxa"/>
            <w:right w:w="108" w:type="dxa"/>
          </w:tblCellMar>
        </w:tblPrEx>
        <w:trPr>
          <w:trHeight w:val="820" w:hRule="atLeast"/>
          <w:jc w:val="center"/>
        </w:trPr>
        <w:tc>
          <w:tcPr>
            <w:tcW w:w="9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7</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eastAsia="仿宋_GB2312"/>
                <w:bCs/>
                <w:color w:val="000000"/>
                <w:kern w:val="0"/>
                <w:sz w:val="24"/>
                <w:lang w:bidi="ar"/>
              </w:rPr>
              <w:t xml:space="preserve">330254036000 </w:t>
            </w:r>
          </w:p>
        </w:tc>
        <w:tc>
          <w:tcPr>
            <w:tcW w:w="638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Fonts w:eastAsia="仿宋_GB2312"/>
                <w:bCs/>
                <w:color w:val="000000"/>
                <w:sz w:val="24"/>
              </w:rPr>
            </w:pPr>
            <w:r>
              <w:rPr>
                <w:rFonts w:hint="eastAsia" w:eastAsia="仿宋_GB2312"/>
                <w:bCs/>
                <w:color w:val="000000"/>
                <w:kern w:val="0"/>
                <w:sz w:val="24"/>
                <w:lang w:bidi="ar"/>
              </w:rPr>
              <w:t>对被许可单位以欺骗、贿赂等不正当手段取得升放气球活动许可的行政处罚</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eastAsia="仿宋_GB2312"/>
                <w:bCs/>
                <w:color w:val="000000"/>
                <w:sz w:val="24"/>
              </w:rPr>
            </w:pPr>
            <w:r>
              <w:rPr>
                <w:rFonts w:hint="eastAsia" w:eastAsia="仿宋_GB2312"/>
                <w:bCs/>
                <w:color w:val="000000"/>
                <w:spacing w:val="-6"/>
                <w:kern w:val="0"/>
                <w:sz w:val="24"/>
                <w:lang w:bidi="ar"/>
              </w:rPr>
              <w:t>部分（撤销升放气球活动许可除外）</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587" w:left="1531" w:header="851" w:footer="1417"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00"/>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161</w:t>
    </w:r>
    <w:r>
      <w:rPr>
        <w:rStyle w:val="6"/>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160</w:t>
    </w:r>
    <w:r>
      <w:rPr>
        <w:rStyle w:val="6"/>
        <w:rFonts w:ascii="宋体" w:hAnsi="宋体"/>
        <w:sz w:val="28"/>
        <w:szCs w:val="28"/>
      </w:rPr>
      <w:fldChar w:fldCharType="end"/>
    </w:r>
    <w:r>
      <w:rPr>
        <w:rStyle w:val="6"/>
        <w:rFonts w:hint="eastAsia" w:ascii="宋体" w:hAnsi="宋体"/>
        <w:sz w:val="28"/>
        <w:szCs w:val="28"/>
      </w:rPr>
      <w:t xml:space="preserve"> —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FE3D0"/>
    <w:rsid w:val="2BDFE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 Char Char1 Char"/>
    <w:basedOn w:val="1"/>
    <w:qFormat/>
    <w:uiPriority w:val="0"/>
    <w:rPr>
      <w:rFonts w:ascii="仿宋_GB2312" w:eastAsia="仿宋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2022-06-29T14:55:00Z</dcterms:created>
  <dc:creator>uos</dc:creator>
  <cp:lastModifiedBy>uos</cp:lastModifiedBy>
  <dcterms:modified xsi:type="dcterms:W3CDTF">2022-06-29T14:56:05Z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