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  <w:t>渣土运输企业信息统计表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</w:p>
    <w:p>
      <w:pPr>
        <w:spacing w:line="400" w:lineRule="exact"/>
        <w:ind w:firstLine="480" w:firstLineChars="200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填报单位：                                                               填报时间：    年    月     日</w:t>
      </w:r>
    </w:p>
    <w:tbl>
      <w:tblPr>
        <w:tblStyle w:val="2"/>
        <w:tblW w:w="139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998"/>
        <w:gridCol w:w="3600"/>
        <w:gridCol w:w="1545"/>
        <w:gridCol w:w="1215"/>
        <w:gridCol w:w="1420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注册地址</w:t>
            </w: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运输方式(陆、水)</w:t>
            </w:r>
          </w:p>
        </w:tc>
        <w:tc>
          <w:tcPr>
            <w:tcW w:w="121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拥有车/船数</w:t>
            </w:r>
          </w:p>
        </w:tc>
        <w:tc>
          <w:tcPr>
            <w:tcW w:w="142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车/船互联网设备安装数</w:t>
            </w: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主管部门(环卫/交通)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998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6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4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  <w:tc>
          <w:tcPr>
            <w:tcW w:w="12503" w:type="dxa"/>
            <w:gridSpan w:val="6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.由行政执法局牵头，交通运输部门配合，排摸、填报后报市专班；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.浙江省建筑垃圾综合监管服务系统开通表格线上录入功能后，市、县专班按要求从系统录入。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B454302"/>
    <w:rsid w:val="1B4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2023-03-13T08:55:00Z</dcterms:created>
  <dc:creator>龚秀娟</dc:creator>
  <cp:lastModifiedBy>龚秀娟</cp:lastModifiedBy>
  <dcterms:modified xsi:type="dcterms:W3CDTF">2023-03-13T08:55:36Z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A180ECA3323746AD9BF1323FA092E220</vt:lpwstr>
  </property>
</Properties>
</file>