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件</w:t>
      </w:r>
      <w:r>
        <w:rPr>
          <w:rFonts w:eastAsia="黑体"/>
          <w:sz w:val="32"/>
          <w:szCs w:val="32"/>
        </w:rPr>
        <w:t>3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卸货点资格认定表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383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指标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具体要求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是否具备（打√或×）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工商登记情况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在资格认定的上一年度内完成注册登记。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经营网络健全度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经营网络健全，货物可溯源，货物进出有痕迹可查询。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安全管理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达到安全管理相关要求，上一年度无责任安全事故。</w:t>
            </w:r>
          </w:p>
        </w:tc>
        <w:tc>
          <w:tcPr>
            <w:tcW w:w="3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7AE7"/>
    <w:rsid w:val="6DFB7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2020-12-14T00:35:00Z</dcterms:created>
  <dc:creator>匿名用户</dc:creator>
  <cp:lastModifiedBy>匿名用户</cp:lastModifiedBy>
  <dcterms:modified xsi:type="dcterms:W3CDTF">2020-12-14T00:36:10Z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