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义乌市未来乡村13930创建体系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推动未来乡村“一统三化九场景”有效落地，提出未来乡村13930创建体系，即按照“三十项标配+N项选配”模式，通过党建统领，人本化、生态化、数字化三大支撑，打造未来产业、风貌、文化、邻里、健康、低碳、交通、智慧、治理等九大场景。通过各类项目、设施建设，确保场景有效落地，为村民提供优美的人居环境、便捷的创业机会、普惠的优质公共服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一、一个统领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坚持党建统领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强化基层党组织核心领导作用，加快党建工作与未来乡村建设深度融合，提升强村富民水平。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二、三大支撑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（一）坚持以人为本。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以推动人的全面发展为核心，发挥村民主体作用，共建共享，便民惠民。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（二）坚持生态优先。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全面保护和修复乡村生态，引导低碳生产与生活方式，保留乡村特色风貌，实施可持续发展战略。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（三）坚持数字赋能。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完善数字新基建，全面提升乡村产业、乡村治理、乡村服务等数字化水平，建设数智乡村。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三、九大场景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（一）未来产业场景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标配：1.一个主导产业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2.一批经营主体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3.农田集中连片流转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选配：强村公司，农产品（文创）创业展销中心，村庄品牌，闲置农房盘活，电商直播间，共享田园，共富工坊，产业园（小微园），民宿（农家乐）等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（二）未来风貌场景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标配：4.村口景观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5.连片美丽庭院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6.美丽乡村设施导览图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选配：多规合一的村庄规划，杆线序化，休闲公园，美丽田园，美丽河湖等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（三）未来文化场景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标配：7.一个村庄主题定位（含一套标识LOGO）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8.农村文化礼堂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9.幼儿园（早教课堂、儿童驿站、假期托管中心）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10.乡村阅读吧（农家书屋、老年大学、农民培训）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选配：研学基地，农村文艺队伍，乡村文化品牌（村晚、村歌、村运），文艺作品创作，文创团队引驻等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（四）未来邻里场景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标配：11.新时代文明实践站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12.商超便利店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13.金融服务网点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选配：乡贤会客厅，邻里、社群活动，志愿帮扶队伍，婴幼儿托育，育儿一件事掌上服务平台，模范选树等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（五）未来健康场景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标配：14.居家养老服务照料中心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15.运动场（健身场所）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16.儿童游戏场所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17.家庭医生（自助药箱）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选配：智慧健身场所，远程诊疗，标准化卫生室（自助药柜），智慧健康站、健康动态监测、一键呼救、失能失智老人照护服务等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（六）未来低碳场景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标配：18.生活污水处理设施（雨污分流、终端监测设备）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19.生活垃圾资源化设施（投放设施、资源化处理设施）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20.规范化农村公厕（无害化卫生厕所全覆盖）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选配：生态洗衣房，星级公厕，垃圾分类示范村，古树名木保护，“一村万树”行动，太阳能、风能、天然气等清洁能源应用等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（七）未来交通场景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标配：21.电商物流服务点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22.停车场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23.公共空间无障碍通道（设施）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24.村内道路路面硬化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选配：绿道，村内主干道白改黑，农产品物流专线，智慧停车场，公交村村通，充电桩等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（八）未来智慧场景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标配：25.千兆光纤、5G网络等乡村数字新基建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26.便民服务掌上平台等数字应用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选配：智慧服务平台，监控、气象、水文、地质等监测设备，智能手环、应急广播等应用硬件，产业地图、数字农业工厂（基地）、电子导览（解说）、远程培训等应用等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（九）未来治理场景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标配：27.党群服务中心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28.便民服务中心（矛盾调解中心）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29.应用“村务清廉钉办”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1600" w:firstLineChars="5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30.村民信用中心（积分兑换超市）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8" w:right="1588" w:bottom="1418" w:left="1588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选配：法治村，农村学法用法示范创建，清廉村居，消防、应急队伍等</w:t>
      </w:r>
    </w:p>
    <w:p>
      <w:pPr>
        <w:spacing w:line="560" w:lineRule="exact"/>
        <w:jc w:val="left"/>
        <w:rPr>
          <w:rFonts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  <w:lang w:val="en-US"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义乌市</w:t>
      </w:r>
      <w:r>
        <w:rPr>
          <w:rFonts w:eastAsia="方正小标宋简体"/>
          <w:sz w:val="44"/>
          <w:szCs w:val="44"/>
          <w:lang w:val="en-US" w:eastAsia="zh-CN"/>
        </w:rPr>
        <w:t>未来乡村</w:t>
      </w:r>
      <w:r>
        <w:rPr>
          <w:rFonts w:hint="eastAsia" w:eastAsia="方正小标宋简体"/>
          <w:sz w:val="44"/>
          <w:szCs w:val="44"/>
          <w:lang w:val="en-US" w:eastAsia="zh-CN"/>
        </w:rPr>
        <w:t>创建</w:t>
      </w:r>
      <w:r>
        <w:rPr>
          <w:rFonts w:eastAsia="方正小标宋简体"/>
          <w:sz w:val="44"/>
          <w:szCs w:val="44"/>
          <w:lang w:val="en-US" w:eastAsia="zh-CN"/>
        </w:rPr>
        <w:t>申报表</w:t>
      </w:r>
    </w:p>
    <w:tbl>
      <w:tblPr>
        <w:tblStyle w:val="4"/>
        <w:tblW w:w="852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6"/>
        <w:gridCol w:w="2268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创建村名称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乡镇（街道）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村（片区）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创建周期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both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计划从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年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val="en-US" w:eastAsia="zh-CN"/>
              </w:rPr>
              <w:t>月至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年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2406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2180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户籍人口数</w:t>
            </w:r>
          </w:p>
        </w:tc>
        <w:tc>
          <w:tcPr>
            <w:tcW w:w="2406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常住人口数</w:t>
            </w:r>
          </w:p>
        </w:tc>
        <w:tc>
          <w:tcPr>
            <w:tcW w:w="2180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68" w:type="dxa"/>
            <w:tcBorders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计划总投资</w:t>
            </w:r>
          </w:p>
        </w:tc>
        <w:tc>
          <w:tcPr>
            <w:tcW w:w="2406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村级集体经济年经营性收入</w:t>
            </w:r>
          </w:p>
        </w:tc>
        <w:tc>
          <w:tcPr>
            <w:tcW w:w="2180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lef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创建等次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1080" w:firstLineChars="450"/>
              <w:jc w:val="both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□未来乡村达标村   □未来乡村特色村 </w:t>
            </w:r>
          </w:p>
          <w:p>
            <w:pPr>
              <w:spacing w:line="360" w:lineRule="exact"/>
              <w:ind w:firstLine="1080" w:firstLineChars="45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□未来乡村样板村   □未来乡村精品示范村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lef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创建类型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□产业主导型   □文化振兴型   □农旅融合型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□生态宜居型   □城郊集聚型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1668" w:type="dxa"/>
            <w:tcBorders>
              <w:lef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基本情况</w:t>
            </w:r>
          </w:p>
        </w:tc>
        <w:tc>
          <w:tcPr>
            <w:tcW w:w="6854" w:type="dxa"/>
            <w:gridSpan w:val="3"/>
            <w:tcBorders>
              <w:lef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简述创建村基本情况、优劣势、必要性和创建目标定位等情况（5</w:t>
            </w:r>
            <w:r>
              <w:rPr>
                <w:rFonts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eastAsia="仿宋_GB2312"/>
                <w:sz w:val="24"/>
                <w:lang w:val="en-US" w:eastAsia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村民代表会议（村民会议）关于未来乡村建设创建方案决议情况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both"/>
              <w:rPr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lang w:val="en-US" w:eastAsia="zh-CN"/>
              </w:rPr>
            </w:pPr>
          </w:p>
          <w:p>
            <w:pPr>
              <w:tabs>
                <w:tab w:val="left" w:pos="4725"/>
              </w:tabs>
              <w:spacing w:line="360" w:lineRule="exact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镇（街道）人民政府（办事处）意见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after="120"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spacing w:after="120" w:line="360" w:lineRule="exact"/>
              <w:jc w:val="both"/>
              <w:rPr>
                <w:lang w:val="en-US" w:eastAsia="zh-CN"/>
              </w:rPr>
            </w:pPr>
          </w:p>
          <w:p>
            <w:pPr>
              <w:spacing w:line="360" w:lineRule="exact"/>
              <w:ind w:firstLine="4560" w:firstLineChars="1900"/>
              <w:jc w:val="both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（盖章）</w:t>
            </w:r>
          </w:p>
          <w:p>
            <w:pPr>
              <w:spacing w:line="360" w:lineRule="exact"/>
              <w:ind w:firstLine="4320" w:firstLineChars="1800"/>
              <w:jc w:val="both"/>
              <w:rPr>
                <w:rFonts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lang w:val="en-US" w:eastAsia="zh-CN"/>
              </w:rPr>
              <w:t>月</w:t>
            </w:r>
            <w:r>
              <w:rPr>
                <w:rFonts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lang w:val="en-US" w:eastAsia="zh-CN"/>
              </w:rPr>
              <w:t>日</w:t>
            </w:r>
          </w:p>
        </w:tc>
      </w:tr>
    </w:tbl>
    <w:p>
      <w:pPr>
        <w:pStyle w:val="2"/>
        <w:spacing w:line="580" w:lineRule="exact"/>
        <w:jc w:val="both"/>
        <w:rPr>
          <w:lang w:val="en-US" w:eastAsia="zh-CN"/>
        </w:rPr>
        <w:sectPr>
          <w:pgSz w:w="11906" w:h="16838"/>
          <w:pgMar w:top="1440" w:right="1418" w:bottom="1440" w:left="1418" w:header="851" w:footer="850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3-1</w:t>
      </w:r>
    </w:p>
    <w:p>
      <w:pPr>
        <w:pStyle w:val="2"/>
        <w:adjustRightInd w:val="0"/>
        <w:snapToGrid w:val="0"/>
        <w:spacing w:afterLines="50"/>
        <w:jc w:val="center"/>
        <w:rPr>
          <w:rFonts w:hint="eastAsia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义乌市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未来乡村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达标村创建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成效评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分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表</w:t>
      </w:r>
    </w:p>
    <w:tbl>
      <w:tblPr>
        <w:tblStyle w:val="4"/>
        <w:tblW w:w="9883" w:type="dxa"/>
        <w:jc w:val="center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18"/>
        <w:gridCol w:w="5236"/>
        <w:gridCol w:w="851"/>
        <w:gridCol w:w="85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13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1"/>
                <w:lang w:val="en-US" w:eastAsia="zh-CN"/>
              </w:rPr>
              <w:t>评价内容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1"/>
                <w:lang w:val="en-US" w:eastAsia="zh-CN"/>
              </w:rPr>
              <w:t>评价标准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分值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自评</w:t>
            </w: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19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场景打造情况90分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三大支撑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有不符合人本化、生态化、数字化支撑要求的，由评估组视严重程度扣2-5分。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标配场景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《义乌市未来乡村13930创建体系》，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九大场景标配完成情况和质量酌情给分，每个场景完成2个以上标配即可认定为达标，5个以上场景达标视完成质量得30-40分。在达标基础上，每增加一个标配可额外得2分，上限20分。不足5个场景的，此项不得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选配场景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《义乌市未来乡村13930创建体系》，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根据九大场景选配完成情况和质量酌情给分，每新增一个选配得1-2分，上限20分。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19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工作推进情况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10分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  <w:lang w:val="en-US" w:eastAsia="zh-CN"/>
              </w:rPr>
              <w:t>工作机制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村党组织战斗堡垒作用充分发挥，村民主体作用充分发挥，村庄经营和长效管理等方面有较好的机制。作用发挥不好，机制方面存在较大问题等酌情扣分。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  <w:lang w:val="en-US" w:eastAsia="zh-CN"/>
              </w:rPr>
              <w:t>项目管理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发现项目法人负责制、招标投标制、建设监理制和合同管理制落实不到位，项目管理规范水平较低等情形的，根据严重程度酌情扣分。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19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" w:eastAsia="zh-CN"/>
              </w:rPr>
              <w:t>加分项目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10分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创新亮点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 w:bidi="ar"/>
              </w:rPr>
              <w:t>未来乡村创建成效显著，获得省级及以上荣誉或在省级及以上媒体宣传推广的，每次得2分；获得市级及以上荣誉或在市级及以上媒体宣传推广的，每次得1分。被认定具有义乌市引领作用的做法或场景的，每次得2分。累计最高得5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“一老一小”服务场景</w:t>
            </w:r>
          </w:p>
        </w:tc>
        <w:tc>
          <w:tcPr>
            <w:tcW w:w="5236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高水平建设“浙里康养”、“浙有善育”，打造“15分钟养老（托育）服务圈”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，由评估组综合评价打分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，上限5分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3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一票否决项目</w:t>
            </w:r>
          </w:p>
        </w:tc>
        <w:tc>
          <w:tcPr>
            <w:tcW w:w="523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存在《浙江省未来乡村创建成效评价办法（试行）》提出的负面清单情形，评估组一票否决。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3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合计</w:t>
            </w:r>
          </w:p>
        </w:tc>
        <w:tc>
          <w:tcPr>
            <w:tcW w:w="523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100+10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3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评估组签名</w:t>
            </w:r>
          </w:p>
        </w:tc>
        <w:tc>
          <w:tcPr>
            <w:tcW w:w="774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</w:tbl>
    <w:p>
      <w:pPr>
        <w:spacing w:line="580" w:lineRule="exact"/>
        <w:jc w:val="both"/>
        <w:rPr>
          <w:rFonts w:eastAsia="黑体"/>
          <w:sz w:val="32"/>
          <w:szCs w:val="32"/>
          <w:lang w:val="en-US" w:eastAsia="zh-CN"/>
        </w:rPr>
        <w:sectPr>
          <w:footerReference r:id="rId4" w:type="default"/>
          <w:footerReference r:id="rId5" w:type="even"/>
          <w:pgSz w:w="11906" w:h="16838"/>
          <w:pgMar w:top="1418" w:right="1588" w:bottom="1418" w:left="1588" w:header="851" w:footer="992" w:gutter="0"/>
          <w:pgNumType w:fmt="decimal"/>
          <w:cols w:space="720" w:num="1"/>
          <w:docGrid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3-2</w:t>
      </w:r>
    </w:p>
    <w:p>
      <w:pPr>
        <w:pStyle w:val="2"/>
        <w:adjustRightInd w:val="0"/>
        <w:snapToGrid w:val="0"/>
        <w:spacing w:afterLines="50"/>
        <w:jc w:val="center"/>
        <w:rPr>
          <w:rFonts w:hint="eastAsia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义乌市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未来乡村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特色村创建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成效评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分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表</w:t>
      </w:r>
    </w:p>
    <w:tbl>
      <w:tblPr>
        <w:tblStyle w:val="4"/>
        <w:tblW w:w="10256" w:type="dxa"/>
        <w:jc w:val="center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484"/>
        <w:gridCol w:w="5520"/>
        <w:gridCol w:w="851"/>
        <w:gridCol w:w="85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226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1"/>
                <w:lang w:val="en-US" w:eastAsia="zh-CN"/>
              </w:rPr>
              <w:t>评价内容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1"/>
                <w:lang w:val="en-US" w:eastAsia="zh-CN"/>
              </w:rPr>
              <w:t>评价标准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分值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自评</w:t>
            </w: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42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场景打造情况90分</w:t>
            </w: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三大支撑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有不符合人本化、生态化、数字化支撑要求的，由评估组视严重程度扣2-5分。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42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标配场景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《义乌市未来乡村13930创建体系》，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根据九大场景标配完成情况和质量酌情给分，每个场景完成2个以上标配即可认定为达标，9个场景全部达标的前提下，完成30项标配视完成质量得45-50分，每少完成一个场景，扣3分。不足9个场景的，此项不得分。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42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选配场景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《义乌市未来乡村13930创建体系》，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根据九大场景选配完成情况和质量酌情给分，每新增一个选配得0.5-1分，上限20分。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42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“一老一小”服务场景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高水平建设“浙里康养”、“浙有善育”，打造“15分钟养老（托育）服务圈”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，由评估组综合评价打分。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42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工作推进情况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10分</w:t>
            </w: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  <w:lang w:val="en-US" w:eastAsia="zh-CN"/>
              </w:rPr>
              <w:t>工作机制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村党组织战斗堡垒作用充分发挥，村民主体作用充分发挥，村庄经营和长效管理等方面有较好的机制。作用发挥不好，机制方面存在较大问题等酌情扣分。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42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  <w:lang w:val="en-US" w:eastAsia="zh-CN"/>
              </w:rPr>
              <w:t>项目管理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发现项目法人负责制、招标投标制、建设监理制和合同管理制落实不到位，项目管理规范水平较低等情形的，根据严重程度酌情扣分。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42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" w:eastAsia="zh-CN"/>
              </w:rPr>
              <w:t>加分项目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10分</w:t>
            </w: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创新亮点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 w:bidi="ar"/>
              </w:rPr>
              <w:t>未来乡村创建成效显著，获得省级及以上荣誉或在省级及以上媒体宣传推广的，每次得2分；获得市级及以上荣誉或在市级及以上媒体宣传推广的，每次得1分。被认定具有义乌市引领作用的做法或场景的，每次得2分。累计最高得5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42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84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特色X场景</w:t>
            </w:r>
          </w:p>
        </w:tc>
        <w:tc>
          <w:tcPr>
            <w:tcW w:w="552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因地制宜找准村庄定位，有明显区别于九大场景的创新做法，打造创客、电商、设计、旅游、研学等具有义乌特色，引领全市乃至全省的“X”场景，由评估组综合评价打分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，上限5分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26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一票否决项目</w:t>
            </w:r>
          </w:p>
        </w:tc>
        <w:tc>
          <w:tcPr>
            <w:tcW w:w="55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存在《浙江省未来乡村创建成效评价办法（试行）》提出的负面清单情形，评估组一票否决。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26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合计</w:t>
            </w:r>
          </w:p>
        </w:tc>
        <w:tc>
          <w:tcPr>
            <w:tcW w:w="55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100+10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26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评估组签名</w:t>
            </w:r>
          </w:p>
        </w:tc>
        <w:tc>
          <w:tcPr>
            <w:tcW w:w="803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3-3</w:t>
      </w:r>
    </w:p>
    <w:p>
      <w:pPr>
        <w:pStyle w:val="2"/>
        <w:adjustRightInd w:val="0"/>
        <w:snapToGrid w:val="0"/>
        <w:spacing w:afterLines="50"/>
        <w:jc w:val="center"/>
        <w:rPr>
          <w:rFonts w:hint="eastAsia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义乌市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未来乡村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样板村创建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成效评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分</w:t>
      </w:r>
      <w:r>
        <w:rPr>
          <w:rFonts w:eastAsia="方正小标宋简体"/>
          <w:color w:val="000000"/>
          <w:sz w:val="44"/>
          <w:szCs w:val="44"/>
          <w:lang w:val="en-US" w:eastAsia="zh-CN"/>
        </w:rPr>
        <w:t>表</w:t>
      </w:r>
    </w:p>
    <w:tbl>
      <w:tblPr>
        <w:tblStyle w:val="4"/>
        <w:tblW w:w="10374" w:type="dxa"/>
        <w:jc w:val="center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18"/>
        <w:gridCol w:w="5695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12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1"/>
                <w:lang w:val="en-US" w:eastAsia="zh-CN"/>
              </w:rPr>
              <w:t>评价内容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1"/>
                <w:lang w:val="en-US" w:eastAsia="zh-CN"/>
              </w:rPr>
              <w:t>评价标准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分值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自评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lang w:val="en-US" w:eastAsia="zh-CN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9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场景打造情况90分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三大支撑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有不符合人本化、生态化、数字化支撑要求的，由评估组视严重程度扣2-5分。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标配场景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《义乌市未来乡村13930创建体系》，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根据九大场景30项标配完成情况和质量酌情给分，不达30项的此项不得分。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选配场景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《义乌市未来乡村13930创建体系》，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根据九大场景选配完成情况和质量酌情给分，每新增一个选配得0.5-1分，上限20分。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1"/>
                <w:lang w:val="en-US" w:eastAsia="zh-CN"/>
              </w:rPr>
              <w:t>“一老一小”服务场景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高水平建设“浙里康养”、“浙有善育”，打造“15分钟养老（托育）服务圈”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，由评估组综合评价打分。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0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特色X场景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因地制宜找准村庄定位，有明显区别于九大场景的创新做法，打造创客、电商、设计、旅游、研学等具有义乌特色，引领全市乃至全省的“X”场景，由评估组综合评价打分。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09" w:type="dxa"/>
            <w:vMerge w:val="restart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工作推进情况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10分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  <w:lang w:val="en-US" w:eastAsia="zh-CN"/>
              </w:rPr>
              <w:t>工作机制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村党组织战斗堡垒作用充分发挥，村民主体作用充分发挥，村庄经营和长效管理等方面有较好的机制。作用发挥不好，机制方面存在较大问题等酌情扣分。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09" w:type="dxa"/>
            <w:vMerge w:val="continue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  <w:lang w:val="en-US" w:eastAsia="zh-CN"/>
              </w:rPr>
              <w:t>项目管理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发现项目法人负责制、招标投标制、建设监理制和合同管理制落实不到位，项目管理规范水平较低等情形的，根据严重程度酌情扣分。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09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" w:eastAsia="zh-CN"/>
              </w:rPr>
              <w:t>加分项目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lang w:val="en-US" w:eastAsia="zh-CN"/>
              </w:rPr>
              <w:t>10分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创新亮点</w:t>
            </w:r>
          </w:p>
        </w:tc>
        <w:tc>
          <w:tcPr>
            <w:tcW w:w="5695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 w:bidi="ar"/>
              </w:rPr>
              <w:t>未来乡村创建成效显著，在省级及以上媒体宣传推广的，每次得2分；在市级及以上媒体宣传推广的，每次得1分。获得省级政府及以上荣誉的，每次得2分；获得1次省部级领导批示肯定进行推广的，每次得2分；获得市级主要领导批示肯定进行推广的，每次得1分。列为省、市级现场会考察点的，每次得2分。被认定具有全市引领作用的做法或场景的，每次得2分。累计最高得10分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2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一票否决项目</w:t>
            </w:r>
          </w:p>
        </w:tc>
        <w:tc>
          <w:tcPr>
            <w:tcW w:w="569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存在《浙江省未来乡村创建成效评价办法（试行）》提出的负面清单情形，评估组一票否决。</w:t>
            </w: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2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合计</w:t>
            </w:r>
          </w:p>
        </w:tc>
        <w:tc>
          <w:tcPr>
            <w:tcW w:w="569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100+10</w:t>
            </w:r>
          </w:p>
        </w:tc>
        <w:tc>
          <w:tcPr>
            <w:tcW w:w="850" w:type="dxa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27" w:type="dxa"/>
            <w:gridSpan w:val="2"/>
            <w:shd w:val="clear" w:color="auto" w:fill="auto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1"/>
                <w:lang w:val="en-US" w:eastAsia="zh-CN"/>
              </w:rPr>
              <w:t>评估组签名</w:t>
            </w:r>
          </w:p>
        </w:tc>
        <w:tc>
          <w:tcPr>
            <w:tcW w:w="824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lang w:val="en-US" w:eastAsia="zh-CN"/>
              </w:rPr>
            </w:pPr>
          </w:p>
        </w:tc>
      </w:tr>
    </w:tbl>
    <w:p>
      <w:pPr>
        <w:spacing w:line="560" w:lineRule="exact"/>
        <w:jc w:val="left"/>
        <w:rPr>
          <w:rFonts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义乌市未来乡村创建成效评价申请表</w:t>
      </w:r>
    </w:p>
    <w:p>
      <w:pPr>
        <w:spacing w:line="320" w:lineRule="exact"/>
        <w:jc w:val="center"/>
        <w:rPr>
          <w:rFonts w:eastAsia="方正小标宋简体"/>
          <w:sz w:val="36"/>
          <w:szCs w:val="36"/>
          <w:lang w:val="en-US" w:eastAsia="zh-CN"/>
        </w:rPr>
      </w:pPr>
    </w:p>
    <w:tbl>
      <w:tblPr>
        <w:tblStyle w:val="4"/>
        <w:tblW w:w="852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27"/>
        <w:gridCol w:w="127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创建村名称</w:t>
            </w:r>
          </w:p>
        </w:tc>
        <w:tc>
          <w:tcPr>
            <w:tcW w:w="382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创建等次</w:t>
            </w:r>
          </w:p>
        </w:tc>
        <w:tc>
          <w:tcPr>
            <w:tcW w:w="175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3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总投资（万元）</w:t>
            </w:r>
          </w:p>
        </w:tc>
        <w:tc>
          <w:tcPr>
            <w:tcW w:w="382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联系人及联系方式</w:t>
            </w:r>
          </w:p>
        </w:tc>
        <w:tc>
          <w:tcPr>
            <w:tcW w:w="175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创建村关于未来乡村创建情况的说明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spacing w:after="120" w:line="360" w:lineRule="exact"/>
              <w:jc w:val="both"/>
              <w:rPr>
                <w:lang w:val="en-US" w:eastAsia="zh-CN"/>
              </w:rPr>
            </w:pPr>
          </w:p>
          <w:p>
            <w:pPr>
              <w:pStyle w:val="2"/>
              <w:spacing w:after="120" w:line="360" w:lineRule="exact"/>
              <w:jc w:val="both"/>
              <w:rPr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0" w:firstLineChars="200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pStyle w:val="2"/>
              <w:spacing w:after="120" w:line="360" w:lineRule="exact"/>
              <w:ind w:firstLine="4560" w:firstLineChars="1900"/>
              <w:jc w:val="both"/>
              <w:rPr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镇（街道）人民政府（办事处）自评结论</w:t>
            </w:r>
          </w:p>
          <w:p>
            <w:pPr>
              <w:widowControl/>
              <w:spacing w:line="360" w:lineRule="exact"/>
              <w:ind w:firstLine="6000" w:firstLineChars="250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ind w:firstLine="6240" w:firstLineChars="260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6240" w:firstLineChars="260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6240" w:firstLineChars="260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920" w:firstLineChars="205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widowControl/>
              <w:spacing w:line="360" w:lineRule="exact"/>
              <w:ind w:firstLine="4680" w:firstLineChars="195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668" w:type="dxa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市评价结果</w:t>
            </w:r>
          </w:p>
        </w:tc>
        <w:tc>
          <w:tcPr>
            <w:tcW w:w="6854" w:type="dxa"/>
            <w:gridSpan w:val="3"/>
            <w:tcBorders>
              <w:top w:val="single" w:color="auto" w:sz="0" w:space="0"/>
              <w:left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（以正式发文形式公布）</w:t>
            </w:r>
          </w:p>
          <w:p>
            <w:pPr>
              <w:spacing w:line="360" w:lineRule="exact"/>
              <w:ind w:firstLine="480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</w:p>
        </w:tc>
      </w:tr>
    </w:tbl>
    <w:p>
      <w:pPr>
        <w:pStyle w:val="2"/>
        <w:jc w:val="both"/>
        <w:rPr>
          <w:lang w:val="en-US" w:eastAsia="zh-CN"/>
        </w:rPr>
      </w:pPr>
    </w:p>
    <w:p>
      <w:pPr>
        <w:pStyle w:val="2"/>
        <w:spacing w:after="0" w:line="560" w:lineRule="exact"/>
        <w:ind w:firstLine="640" w:firstLineChars="200"/>
        <w:jc w:val="both"/>
        <w:rPr>
          <w:rFonts w:eastAsia="仿宋_GB2312"/>
          <w:sz w:val="32"/>
          <w:szCs w:val="32"/>
          <w:lang w:val="en-US" w:eastAsia="zh-CN"/>
        </w:rPr>
      </w:pPr>
    </w:p>
    <w:p>
      <w:pPr>
        <w:jc w:val="both"/>
        <w:rPr>
          <w:lang w:val="en-US" w:eastAsia="zh-CN"/>
        </w:rPr>
      </w:pPr>
    </w:p>
    <w:p>
      <w:pPr>
        <w:pStyle w:val="2"/>
        <w:jc w:val="both"/>
        <w:rPr>
          <w:lang w:val="en-US" w:eastAsia="zh-CN"/>
        </w:rPr>
      </w:pPr>
    </w:p>
    <w:p>
      <w:pPr>
        <w:pStyle w:val="2"/>
        <w:jc w:val="both"/>
        <w:rPr>
          <w:lang w:val="en-US" w:eastAsia="zh-CN"/>
        </w:rPr>
      </w:pPr>
    </w:p>
    <w:p>
      <w:pPr>
        <w:pStyle w:val="2"/>
        <w:jc w:val="both"/>
        <w:rPr>
          <w:lang w:val="en-US" w:eastAsia="zh-CN"/>
        </w:rPr>
      </w:pPr>
    </w:p>
    <w:p>
      <w:pPr>
        <w:pStyle w:val="2"/>
        <w:jc w:val="both"/>
        <w:rPr>
          <w:lang w:val="en-US" w:eastAsia="zh-CN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义乌市未来乡村创建成效</w:t>
      </w:r>
      <w:r>
        <w:rPr>
          <w:rFonts w:hint="eastAsia" w:eastAsia="方正小标宋简体"/>
          <w:sz w:val="44"/>
          <w:szCs w:val="44"/>
          <w:lang w:val="en-US" w:eastAsia="zh-CN"/>
        </w:rPr>
        <w:t>总结提纲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二、场景建设实施情况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三、数字化建设与应用情况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四、场景特别是“一老一小”场景建设情况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五、建设投入情况</w:t>
      </w:r>
    </w:p>
    <w:p>
      <w:pPr>
        <w:keepNext w:val="0"/>
        <w:keepLines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工作推进情况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七、特色和创新情况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八、相关附件</w:t>
      </w:r>
    </w:p>
    <w:p>
      <w:pPr>
        <w:spacing w:line="56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</w:p>
    <w:p/>
    <w:sectPr>
      <w:footerReference r:id="rId6" w:type="default"/>
      <w:footerReference r:id="rId7" w:type="even"/>
      <w:pgSz w:w="11906" w:h="16838"/>
      <w:pgMar w:top="1418" w:right="1588" w:bottom="1418" w:left="1588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lang w:val="en-US" w:eastAsia="zh-CN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  <w:lang w:val="en-US" w:eastAsia="zh-CN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left"/>
      <w:rPr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宋体" w:hAnsi="宋体"/>
        <w:sz w:val="28"/>
        <w:szCs w:val="28"/>
        <w:lang w:val="en-US" w:eastAsia="zh-CN"/>
      </w:rPr>
    </w:pPr>
    <w:r>
      <w:rPr>
        <w:rFonts w:ascii="宋体" w:hAnsi="宋体"/>
        <w:sz w:val="28"/>
        <w:szCs w:val="28"/>
        <w:lang w:val="en-US" w:eastAsia="zh-CN"/>
      </w:rPr>
      <w:fldChar w:fldCharType="begin"/>
    </w:r>
    <w:r>
      <w:rPr>
        <w:rFonts w:ascii="宋体" w:hAnsi="宋体"/>
        <w:sz w:val="28"/>
        <w:szCs w:val="28"/>
        <w:lang w:val="en-US" w:eastAsia="zh-CN"/>
      </w:rPr>
      <w:instrText xml:space="preserve">PAGE   \* MERGEFORMAT</w:instrText>
    </w:r>
    <w:r>
      <w:rPr>
        <w:rFonts w:ascii="宋体" w:hAnsi="宋体"/>
        <w:sz w:val="28"/>
        <w:szCs w:val="28"/>
        <w:lang w:val="en-US" w:eastAsia="zh-CN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16 -</w:t>
    </w:r>
    <w:r>
      <w:rPr>
        <w:rFonts w:ascii="宋体" w:hAnsi="宋体"/>
        <w:sz w:val="28"/>
        <w:szCs w:val="28"/>
        <w:lang w:val="en-US" w:eastAsia="zh-CN"/>
      </w:rPr>
      <w:fldChar w:fldCharType="end"/>
    </w:r>
  </w:p>
  <w:p>
    <w:pPr>
      <w:pStyle w:val="3"/>
      <w:jc w:val="left"/>
      <w:rPr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  <w:lang w:val="en-US" w:eastAsia="zh-CN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left"/>
      <w:rPr>
        <w:lang w:val="en-US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宋体" w:hAnsi="宋体"/>
        <w:sz w:val="28"/>
        <w:szCs w:val="28"/>
        <w:lang w:val="en-US" w:eastAsia="zh-CN"/>
      </w:rPr>
    </w:pPr>
    <w:r>
      <w:rPr>
        <w:rFonts w:ascii="宋体" w:hAnsi="宋体"/>
        <w:sz w:val="28"/>
        <w:szCs w:val="28"/>
        <w:lang w:val="en-US" w:eastAsia="zh-CN"/>
      </w:rPr>
      <w:fldChar w:fldCharType="begin"/>
    </w:r>
    <w:r>
      <w:rPr>
        <w:rFonts w:ascii="宋体" w:hAnsi="宋体"/>
        <w:sz w:val="28"/>
        <w:szCs w:val="28"/>
        <w:lang w:val="en-US" w:eastAsia="zh-CN"/>
      </w:rPr>
      <w:instrText xml:space="preserve">PAGE   \* MERGEFORMAT</w:instrText>
    </w:r>
    <w:r>
      <w:rPr>
        <w:rFonts w:ascii="宋体" w:hAnsi="宋体"/>
        <w:sz w:val="28"/>
        <w:szCs w:val="28"/>
        <w:lang w:val="en-US" w:eastAsia="zh-CN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16 -</w:t>
    </w:r>
    <w:r>
      <w:rPr>
        <w:rFonts w:ascii="宋体" w:hAnsi="宋体"/>
        <w:sz w:val="28"/>
        <w:szCs w:val="28"/>
        <w:lang w:val="en-US" w:eastAsia="zh-CN"/>
      </w:rPr>
      <w:fldChar w:fldCharType="end"/>
    </w:r>
  </w:p>
  <w:p>
    <w:pPr>
      <w:pStyle w:val="3"/>
      <w:jc w:val="left"/>
      <w:rPr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74A7"/>
    <w:rsid w:val="328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after="120"/>
      <w:jc w:val="both"/>
    </w:pPr>
    <w:rPr>
      <w:lang w:val="en-US" w:eastAsia="zh-CN"/>
    </w:rPr>
  </w:style>
  <w:style w:type="paragraph" w:styleId="3">
    <w:name w:val="footer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2023-02-21T03:00:00Z</dcterms:created>
  <dc:creator>lpk</dc:creator>
  <cp:lastModifiedBy>lpk</cp:lastModifiedBy>
  <dcterms:modified xsi:type="dcterms:W3CDTF">2023-02-21T03:01:16Z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