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eastAsia="华文中宋"/>
          <w:b/>
          <w:bCs/>
          <w:sz w:val="36"/>
          <w:szCs w:val="36"/>
        </w:rPr>
      </w:pPr>
      <w:bookmarkStart w:id="0" w:name="_GoBack"/>
      <w:bookmarkEnd w:id="0"/>
      <w:r>
        <w:rPr>
          <w:rFonts w:hint="eastAsia" w:hAnsi="华文中宋" w:eastAsia="华文中宋"/>
          <w:b/>
          <w:bCs/>
          <w:sz w:val="36"/>
          <w:szCs w:val="36"/>
        </w:rPr>
        <w:t>高素质农民</w:t>
      </w:r>
      <w:r>
        <w:rPr>
          <w:rFonts w:hAnsi="华文中宋" w:eastAsia="华文中宋"/>
          <w:b/>
          <w:bCs/>
          <w:sz w:val="36"/>
          <w:szCs w:val="36"/>
        </w:rPr>
        <w:t>培训规范</w:t>
      </w:r>
      <w:r>
        <w:rPr>
          <w:rFonts w:hint="eastAsia" w:hAnsi="华文中宋" w:eastAsia="华文中宋"/>
          <w:b/>
          <w:bCs/>
          <w:sz w:val="36"/>
          <w:szCs w:val="36"/>
        </w:rPr>
        <w:t>（试行）</w:t>
      </w:r>
    </w:p>
    <w:p>
      <w:pPr>
        <w:adjustRightInd w:val="0"/>
        <w:snapToGrid w:val="0"/>
        <w:spacing w:line="600" w:lineRule="exact"/>
        <w:jc w:val="center"/>
        <w:rPr>
          <w:rFonts w:eastAsia="华文中宋"/>
          <w:b/>
          <w:bCs/>
          <w:sz w:val="32"/>
          <w:szCs w:val="32"/>
        </w:rPr>
      </w:pPr>
    </w:p>
    <w:p>
      <w:pPr>
        <w:spacing w:line="600" w:lineRule="exact"/>
        <w:ind w:firstLine="640" w:firstLineChars="200"/>
        <w:rPr>
          <w:rFonts w:eastAsia="黑体"/>
          <w:sz w:val="32"/>
          <w:szCs w:val="32"/>
        </w:rPr>
      </w:pPr>
      <w:r>
        <w:rPr>
          <w:rFonts w:hint="eastAsia" w:eastAsia="黑体"/>
          <w:sz w:val="32"/>
          <w:szCs w:val="32"/>
        </w:rPr>
        <w:t>一、</w:t>
      </w:r>
      <w:r>
        <w:rPr>
          <w:rFonts w:eastAsia="黑体"/>
          <w:sz w:val="32"/>
          <w:szCs w:val="32"/>
        </w:rPr>
        <w:t>适用范围</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各级农业农村部门、培训机构开展高素质农民培训应遵循本规范</w:t>
      </w:r>
      <w:r>
        <w:rPr>
          <w:rFonts w:ascii="仿宋_GB2312" w:hAnsi="仿宋" w:eastAsia="仿宋_GB2312"/>
          <w:sz w:val="32"/>
          <w:szCs w:val="32"/>
        </w:rPr>
        <w:t>。</w:t>
      </w:r>
    </w:p>
    <w:p>
      <w:pPr>
        <w:spacing w:line="600" w:lineRule="exact"/>
        <w:ind w:firstLine="640" w:firstLineChars="200"/>
        <w:rPr>
          <w:rFonts w:hint="eastAsia" w:eastAsia="黑体"/>
          <w:sz w:val="32"/>
          <w:szCs w:val="32"/>
        </w:rPr>
      </w:pPr>
      <w:r>
        <w:rPr>
          <w:rFonts w:eastAsia="仿宋_GB2312"/>
          <w:color w:val="000000"/>
          <w:sz w:val="32"/>
          <w:szCs w:val="32"/>
        </w:rPr>
        <w:t>高素质农民培训工作包括为提高农民技能水平和综合素质所开展的</w:t>
      </w:r>
      <w:r>
        <w:rPr>
          <w:rFonts w:hint="eastAsia" w:eastAsia="仿宋_GB2312"/>
          <w:color w:val="000000"/>
          <w:sz w:val="32"/>
          <w:szCs w:val="32"/>
        </w:rPr>
        <w:t>课堂教学、实习实训、</w:t>
      </w:r>
      <w:r>
        <w:rPr>
          <w:rFonts w:eastAsia="仿宋_GB2312"/>
          <w:color w:val="000000"/>
          <w:sz w:val="32"/>
          <w:szCs w:val="32"/>
        </w:rPr>
        <w:t>线上</w:t>
      </w:r>
      <w:r>
        <w:rPr>
          <w:rFonts w:hint="eastAsia" w:eastAsia="仿宋_GB2312"/>
          <w:color w:val="000000"/>
          <w:sz w:val="32"/>
          <w:szCs w:val="32"/>
        </w:rPr>
        <w:t>学习、现场观摩、交流实践、绩效评价、信息宣传、统计监测</w:t>
      </w:r>
      <w:r>
        <w:rPr>
          <w:rFonts w:eastAsia="仿宋_GB2312"/>
          <w:color w:val="000000"/>
          <w:sz w:val="32"/>
          <w:szCs w:val="32"/>
        </w:rPr>
        <w:t>等内容。</w:t>
      </w:r>
    </w:p>
    <w:p>
      <w:pPr>
        <w:spacing w:line="600" w:lineRule="exact"/>
        <w:ind w:firstLine="640" w:firstLineChars="200"/>
        <w:rPr>
          <w:rFonts w:eastAsia="黑体"/>
          <w:sz w:val="32"/>
          <w:szCs w:val="32"/>
        </w:rPr>
      </w:pPr>
      <w:r>
        <w:rPr>
          <w:rFonts w:hint="eastAsia" w:eastAsia="黑体"/>
          <w:sz w:val="32"/>
          <w:szCs w:val="32"/>
        </w:rPr>
        <w:t>二、培训</w:t>
      </w:r>
      <w:r>
        <w:rPr>
          <w:rFonts w:eastAsia="黑体"/>
          <w:sz w:val="32"/>
          <w:szCs w:val="32"/>
        </w:rPr>
        <w:t>对象</w:t>
      </w:r>
    </w:p>
    <w:p>
      <w:pPr>
        <w:ind w:firstLine="640" w:firstLineChars="200"/>
        <w:rPr>
          <w:rFonts w:eastAsia="仿宋_GB2312"/>
          <w:sz w:val="32"/>
          <w:szCs w:val="32"/>
        </w:rPr>
      </w:pPr>
      <w:r>
        <w:rPr>
          <w:rFonts w:eastAsia="仿宋_GB2312"/>
          <w:sz w:val="32"/>
          <w:szCs w:val="32"/>
        </w:rPr>
        <w:t>年满16周岁，</w:t>
      </w:r>
      <w:r>
        <w:rPr>
          <w:rFonts w:hint="eastAsia" w:eastAsia="仿宋_GB2312"/>
          <w:sz w:val="32"/>
          <w:szCs w:val="32"/>
        </w:rPr>
        <w:t>正在从事或有意愿从事农业生产、经营、服务的务农农民和返乡入乡创新创业者</w:t>
      </w:r>
      <w:r>
        <w:rPr>
          <w:rFonts w:eastAsia="仿宋_GB2312"/>
          <w:sz w:val="32"/>
          <w:szCs w:val="32"/>
        </w:rPr>
        <w:t>。</w:t>
      </w:r>
    </w:p>
    <w:p>
      <w:pPr>
        <w:ind w:firstLine="640" w:firstLineChars="200"/>
        <w:rPr>
          <w:rFonts w:eastAsia="仿宋_GB2312"/>
          <w:sz w:val="32"/>
          <w:szCs w:val="32"/>
        </w:rPr>
      </w:pPr>
      <w:r>
        <w:rPr>
          <w:rFonts w:hint="eastAsia" w:eastAsia="仿宋_GB2312"/>
          <w:sz w:val="32"/>
          <w:szCs w:val="32"/>
        </w:rPr>
        <w:t>本年度参训学员可以在次年参加同一层级不同培训，或参加同一类型更高层级的培训。同一层级培训学员与上年重复率不超过</w:t>
      </w:r>
      <w:r>
        <w:rPr>
          <w:rFonts w:eastAsia="仿宋_GB2312"/>
          <w:sz w:val="32"/>
          <w:szCs w:val="32"/>
        </w:rPr>
        <w:t>8%</w:t>
      </w:r>
      <w:r>
        <w:rPr>
          <w:rFonts w:hint="eastAsia"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三、培训目标</w:t>
      </w:r>
    </w:p>
    <w:p>
      <w:pPr>
        <w:spacing w:line="600" w:lineRule="exact"/>
        <w:ind w:firstLine="640" w:firstLineChars="200"/>
        <w:rPr>
          <w:rFonts w:hint="eastAsia" w:eastAsia="仿宋_GB2312"/>
          <w:color w:val="000000"/>
          <w:sz w:val="32"/>
          <w:szCs w:val="32"/>
        </w:rPr>
      </w:pPr>
      <w:r>
        <w:rPr>
          <w:rFonts w:hint="eastAsia" w:ascii="仿宋_GB2312" w:hAnsi="宋体" w:eastAsia="仿宋_GB2312"/>
          <w:bCs/>
          <w:kern w:val="0"/>
          <w:sz w:val="32"/>
          <w:szCs w:val="32"/>
          <w:lang w:val="zh-CN"/>
        </w:rPr>
        <w:t>高素质农民培训的目标是聚焦乡村振兴和现代农业发展人才需求，推动地方党委、政府加大农民教育培训力度，整体提高农民科技文化素质，</w:t>
      </w:r>
      <w:r>
        <w:rPr>
          <w:rFonts w:hint="eastAsia" w:eastAsia="仿宋_GB2312"/>
          <w:color w:val="000000"/>
          <w:sz w:val="32"/>
          <w:szCs w:val="32"/>
        </w:rPr>
        <w:t>按照以农民为中心、服务产业、注重质量、适度竞争、创新发展的原则，培养有文化、懂技术、善经营、会管理的高素质农民队伍，</w:t>
      </w:r>
      <w:r>
        <w:rPr>
          <w:rFonts w:hint="eastAsia" w:ascii="仿宋_GB2312" w:hAnsi="宋体" w:eastAsia="仿宋_GB2312"/>
          <w:bCs/>
          <w:kern w:val="0"/>
          <w:sz w:val="32"/>
          <w:szCs w:val="32"/>
          <w:lang w:val="zh-CN"/>
        </w:rPr>
        <w:t>促进农业转型升级、农村持续进步、农民全面发展。</w:t>
      </w:r>
    </w:p>
    <w:p>
      <w:pPr>
        <w:tabs>
          <w:tab w:val="left" w:pos="2730"/>
        </w:tabs>
        <w:autoSpaceDE w:val="0"/>
        <w:autoSpaceDN w:val="0"/>
        <w:spacing w:line="620" w:lineRule="exact"/>
        <w:ind w:firstLine="640" w:firstLineChars="200"/>
        <w:contextualSpacing/>
        <w:rPr>
          <w:rFonts w:ascii="黑体" w:hAnsi="黑体" w:eastAsia="黑体"/>
          <w:bCs/>
          <w:kern w:val="0"/>
          <w:sz w:val="32"/>
          <w:szCs w:val="32"/>
          <w:lang w:val="zh-CN"/>
        </w:rPr>
      </w:pPr>
      <w:r>
        <w:rPr>
          <w:rFonts w:hint="eastAsia" w:ascii="黑体" w:hAnsi="黑体" w:eastAsia="黑体"/>
          <w:bCs/>
          <w:kern w:val="0"/>
          <w:sz w:val="32"/>
          <w:szCs w:val="32"/>
          <w:lang w:val="zh-CN"/>
        </w:rPr>
        <w:t>四、培训管理</w:t>
      </w:r>
    </w:p>
    <w:p>
      <w:pPr>
        <w:autoSpaceDE w:val="0"/>
        <w:autoSpaceDN w:val="0"/>
        <w:spacing w:line="620" w:lineRule="exact"/>
        <w:ind w:firstLine="640" w:firstLineChars="200"/>
        <w:contextualSpacing/>
        <w:rPr>
          <w:rFonts w:hint="eastAsia" w:ascii="仿宋_GB2312" w:eastAsia="仿宋_GB2312"/>
          <w:bCs/>
          <w:kern w:val="0"/>
          <w:sz w:val="32"/>
          <w:szCs w:val="32"/>
          <w:lang w:val="zh-CN"/>
        </w:rPr>
      </w:pPr>
      <w:r>
        <w:rPr>
          <w:rFonts w:hint="eastAsia" w:ascii="仿宋_GB2312" w:hAnsi="宋体" w:eastAsia="仿宋_GB2312"/>
          <w:bCs/>
          <w:kern w:val="0"/>
          <w:sz w:val="32"/>
          <w:szCs w:val="32"/>
          <w:lang w:val="zh-CN"/>
        </w:rPr>
        <w:t>农业农村部科技教育司统筹高素质农民培育工作，对各省进行工作指导和绩效管理，根据绩效评价结果调整年度任务计划，推进高素质农民培育提质增效。</w:t>
      </w:r>
    </w:p>
    <w:p>
      <w:pPr>
        <w:autoSpaceDE w:val="0"/>
        <w:autoSpaceDN w:val="0"/>
        <w:spacing w:line="620" w:lineRule="exact"/>
        <w:ind w:firstLine="632" w:firstLineChars="200"/>
        <w:contextualSpacing/>
        <w:rPr>
          <w:rFonts w:ascii="仿宋_GB2312" w:hAnsi="宋体" w:eastAsia="仿宋_GB2312"/>
          <w:bCs/>
          <w:spacing w:val="-2"/>
          <w:kern w:val="0"/>
          <w:sz w:val="32"/>
          <w:szCs w:val="32"/>
          <w:lang w:val="zh-CN"/>
        </w:rPr>
      </w:pPr>
      <w:r>
        <w:rPr>
          <w:rFonts w:hint="eastAsia" w:ascii="仿宋_GB2312" w:hAnsi="宋体" w:eastAsia="仿宋_GB2312"/>
          <w:bCs/>
          <w:spacing w:val="-2"/>
          <w:kern w:val="0"/>
          <w:sz w:val="32"/>
          <w:szCs w:val="32"/>
          <w:lang w:val="zh-CN"/>
        </w:rPr>
        <w:t>农业农村部农民科技教育培训中心受</w:t>
      </w:r>
      <w:r>
        <w:rPr>
          <w:rFonts w:hint="eastAsia" w:ascii="仿宋_GB2312" w:hAnsi="宋体" w:eastAsia="仿宋_GB2312"/>
          <w:bCs/>
          <w:kern w:val="0"/>
          <w:sz w:val="32"/>
          <w:szCs w:val="32"/>
          <w:lang w:val="zh-CN"/>
        </w:rPr>
        <w:t>科技教育司</w:t>
      </w:r>
      <w:r>
        <w:rPr>
          <w:rFonts w:hint="eastAsia" w:ascii="仿宋_GB2312" w:hAnsi="宋体" w:eastAsia="仿宋_GB2312"/>
          <w:bCs/>
          <w:spacing w:val="-2"/>
          <w:kern w:val="0"/>
          <w:sz w:val="32"/>
          <w:szCs w:val="32"/>
          <w:lang w:val="zh-CN"/>
        </w:rPr>
        <w:t>委托，开展信息统计、质量监控和宣传，配合</w:t>
      </w:r>
      <w:r>
        <w:rPr>
          <w:rFonts w:hint="eastAsia" w:ascii="仿宋_GB2312" w:hAnsi="宋体" w:eastAsia="仿宋_GB2312"/>
          <w:bCs/>
          <w:kern w:val="0"/>
          <w:sz w:val="32"/>
          <w:szCs w:val="32"/>
          <w:lang w:val="zh-CN"/>
        </w:rPr>
        <w:t>科技教育司</w:t>
      </w:r>
      <w:r>
        <w:rPr>
          <w:rFonts w:hint="eastAsia" w:ascii="仿宋_GB2312" w:hAnsi="宋体" w:eastAsia="仿宋_GB2312"/>
          <w:bCs/>
          <w:spacing w:val="-2"/>
          <w:kern w:val="0"/>
          <w:sz w:val="32"/>
          <w:szCs w:val="32"/>
          <w:lang w:val="zh-CN"/>
        </w:rPr>
        <w:t>加强培训体系、师资队伍和教材建设，负责运营管理农民教育培训信息管理系统。</w:t>
      </w:r>
    </w:p>
    <w:p>
      <w:pPr>
        <w:autoSpaceDE w:val="0"/>
        <w:autoSpaceDN w:val="0"/>
        <w:spacing w:line="620" w:lineRule="exact"/>
        <w:ind w:firstLine="640" w:firstLineChars="200"/>
        <w:contextualSpacing/>
        <w:rPr>
          <w:rFonts w:hint="eastAsia" w:ascii="仿宋_GB2312" w:eastAsia="仿宋_GB2312"/>
          <w:bCs/>
          <w:kern w:val="0"/>
          <w:sz w:val="32"/>
          <w:szCs w:val="32"/>
          <w:lang w:val="zh-CN"/>
        </w:rPr>
      </w:pPr>
      <w:r>
        <w:rPr>
          <w:rFonts w:hint="eastAsia" w:ascii="仿宋_GB2312" w:hAnsi="宋体" w:eastAsia="仿宋_GB2312"/>
          <w:bCs/>
          <w:kern w:val="0"/>
          <w:sz w:val="32"/>
          <w:szCs w:val="32"/>
          <w:lang w:val="zh-CN"/>
        </w:rPr>
        <w:t>省级农业农村部门负责本地区高素质农民培训工作，探索完善培育制度，健全培育体系和师资队伍，强化培训质量管控和项目监管，指导市县落实培训实施方案，创设支持高素质农民发展的政策。</w:t>
      </w:r>
    </w:p>
    <w:p>
      <w:pPr>
        <w:tabs>
          <w:tab w:val="left" w:pos="2730"/>
        </w:tabs>
        <w:autoSpaceDE w:val="0"/>
        <w:autoSpaceDN w:val="0"/>
        <w:spacing w:line="620" w:lineRule="exact"/>
        <w:ind w:firstLine="640" w:firstLineChars="200"/>
        <w:contextualSpacing/>
        <w:rPr>
          <w:rFonts w:hint="eastAsia" w:ascii="仿宋_GB2312" w:eastAsia="仿宋_GB2312"/>
          <w:bCs/>
          <w:kern w:val="0"/>
          <w:sz w:val="32"/>
          <w:szCs w:val="32"/>
          <w:lang w:val="zh-CN"/>
        </w:rPr>
      </w:pPr>
      <w:r>
        <w:rPr>
          <w:rFonts w:hint="eastAsia" w:ascii="仿宋_GB2312" w:hAnsi="宋体" w:eastAsia="仿宋_GB2312"/>
          <w:bCs/>
          <w:kern w:val="0"/>
          <w:sz w:val="32"/>
          <w:szCs w:val="32"/>
          <w:lang w:val="zh-CN"/>
        </w:rPr>
        <w:t>市县农业农村部门负责对所在地区各类农业经营主体及农民培训需求进行摸底调查，</w:t>
      </w:r>
      <w:r>
        <w:rPr>
          <w:rFonts w:hint="eastAsia" w:ascii="仿宋_GB2312" w:hAnsi="宋体" w:eastAsia="仿宋_GB2312"/>
          <w:b/>
          <w:bCs/>
          <w:kern w:val="0"/>
          <w:sz w:val="32"/>
          <w:szCs w:val="32"/>
          <w:lang w:val="zh-CN"/>
        </w:rPr>
        <w:t>择优使用培训机构，</w:t>
      </w:r>
      <w:r>
        <w:rPr>
          <w:rFonts w:hint="eastAsia" w:ascii="仿宋_GB2312" w:hAnsi="宋体" w:eastAsia="仿宋_GB2312"/>
          <w:bCs/>
          <w:kern w:val="0"/>
          <w:sz w:val="32"/>
          <w:szCs w:val="32"/>
          <w:lang w:val="zh-CN"/>
        </w:rPr>
        <w:t>对培训实施过程监管和质量评价，开展相应数据信息管理和宣传，支持高素质农民创新创业。</w:t>
      </w:r>
    </w:p>
    <w:p>
      <w:pPr>
        <w:spacing w:line="600" w:lineRule="exact"/>
        <w:ind w:firstLine="640" w:firstLineChars="200"/>
        <w:rPr>
          <w:rFonts w:hint="eastAsia" w:eastAsia="黑体"/>
          <w:sz w:val="32"/>
          <w:szCs w:val="32"/>
        </w:rPr>
      </w:pPr>
      <w:r>
        <w:rPr>
          <w:rFonts w:hint="eastAsia" w:eastAsia="黑体"/>
          <w:sz w:val="32"/>
          <w:szCs w:val="32"/>
        </w:rPr>
        <w:t>五、培训方案</w:t>
      </w:r>
    </w:p>
    <w:p>
      <w:pPr>
        <w:spacing w:line="600" w:lineRule="exact"/>
        <w:ind w:firstLine="640" w:firstLineChars="200"/>
        <w:rPr>
          <w:rFonts w:eastAsia="仿宋_GB2312"/>
          <w:color w:val="000000"/>
          <w:sz w:val="32"/>
          <w:szCs w:val="32"/>
        </w:rPr>
      </w:pPr>
      <w:r>
        <w:rPr>
          <w:rFonts w:hint="eastAsia" w:eastAsia="仿宋_GB2312"/>
          <w:color w:val="000000"/>
          <w:sz w:val="32"/>
          <w:szCs w:val="32"/>
        </w:rPr>
        <w:t xml:space="preserve">农业农村部、财政部联合实施高素质农民培育计划，制定年度高素质农民培训方案。 </w:t>
      </w:r>
    </w:p>
    <w:p>
      <w:pPr>
        <w:adjustRightInd w:val="0"/>
        <w:snapToGrid w:val="0"/>
        <w:spacing w:line="600" w:lineRule="exact"/>
        <w:ind w:firstLine="640" w:firstLineChars="200"/>
        <w:rPr>
          <w:rFonts w:eastAsia="仿宋_GB2312"/>
          <w:b/>
          <w:color w:val="000000"/>
          <w:sz w:val="32"/>
          <w:szCs w:val="32"/>
        </w:rPr>
      </w:pPr>
      <w:r>
        <w:rPr>
          <w:rFonts w:hint="eastAsia" w:eastAsia="仿宋_GB2312"/>
          <w:color w:val="000000"/>
          <w:sz w:val="32"/>
          <w:szCs w:val="32"/>
        </w:rPr>
        <w:t>省级及以下</w:t>
      </w:r>
      <w:r>
        <w:rPr>
          <w:rFonts w:eastAsia="仿宋_GB2312"/>
          <w:bCs/>
          <w:color w:val="000000"/>
          <w:sz w:val="32"/>
          <w:szCs w:val="32"/>
        </w:rPr>
        <w:t>农业农村部门</w:t>
      </w:r>
      <w:r>
        <w:rPr>
          <w:rFonts w:hint="eastAsia" w:eastAsia="仿宋_GB2312"/>
          <w:bCs/>
          <w:color w:val="000000"/>
          <w:sz w:val="32"/>
          <w:szCs w:val="32"/>
        </w:rPr>
        <w:t>按照本规范制定高素质农民培训实施方案或计划。</w:t>
      </w:r>
      <w:r>
        <w:rPr>
          <w:rFonts w:hint="eastAsia" w:eastAsia="仿宋_GB2312"/>
          <w:bCs/>
          <w:color w:val="auto"/>
          <w:sz w:val="32"/>
          <w:szCs w:val="32"/>
        </w:rPr>
        <w:t>实施方案或计划应</w:t>
      </w:r>
      <w:r>
        <w:rPr>
          <w:rFonts w:hint="eastAsia" w:eastAsia="仿宋_GB2312"/>
          <w:color w:val="auto"/>
          <w:sz w:val="32"/>
          <w:szCs w:val="32"/>
        </w:rPr>
        <w:t>结合当地生产发展需要和农民实际需求，确定培训内容、设计培训课程、优化培训形式、明确具体要求。</w:t>
      </w:r>
      <w:r>
        <w:rPr>
          <w:rFonts w:hint="eastAsia" w:eastAsia="仿宋_GB2312"/>
          <w:color w:val="FF0000"/>
          <w:sz w:val="32"/>
          <w:szCs w:val="32"/>
        </w:rPr>
        <w:t xml:space="preserve"> </w:t>
      </w:r>
    </w:p>
    <w:p>
      <w:pPr>
        <w:spacing w:line="600" w:lineRule="exact"/>
        <w:ind w:firstLine="640" w:firstLineChars="200"/>
        <w:rPr>
          <w:rFonts w:eastAsia="黑体"/>
          <w:sz w:val="32"/>
          <w:szCs w:val="32"/>
        </w:rPr>
      </w:pPr>
      <w:r>
        <w:rPr>
          <w:rFonts w:hint="eastAsia" w:eastAsia="黑体"/>
          <w:sz w:val="32"/>
          <w:szCs w:val="32"/>
        </w:rPr>
        <w:t>六、</w:t>
      </w:r>
      <w:r>
        <w:rPr>
          <w:rFonts w:eastAsia="黑体"/>
          <w:sz w:val="32"/>
          <w:szCs w:val="32"/>
        </w:rPr>
        <w:t>培训</w:t>
      </w:r>
      <w:r>
        <w:rPr>
          <w:rFonts w:hint="eastAsia" w:eastAsia="黑体"/>
          <w:sz w:val="32"/>
          <w:szCs w:val="32"/>
        </w:rPr>
        <w:t>类型</w:t>
      </w:r>
    </w:p>
    <w:p>
      <w:pPr>
        <w:ind w:firstLine="640" w:firstLineChars="200"/>
        <w:rPr>
          <w:rFonts w:eastAsia="仿宋_GB2312"/>
          <w:sz w:val="32"/>
          <w:szCs w:val="32"/>
        </w:rPr>
      </w:pPr>
      <w:r>
        <w:rPr>
          <w:rFonts w:hint="eastAsia" w:eastAsia="仿宋_GB2312"/>
          <w:sz w:val="32"/>
          <w:szCs w:val="32"/>
        </w:rPr>
        <w:t>以经营管理型、专业生产型和技能服务型为目标导向开展培训。</w:t>
      </w:r>
    </w:p>
    <w:p>
      <w:pPr>
        <w:ind w:firstLine="640" w:firstLineChars="200"/>
        <w:rPr>
          <w:rFonts w:eastAsia="仿宋_GB2312"/>
          <w:sz w:val="32"/>
          <w:szCs w:val="32"/>
        </w:rPr>
      </w:pPr>
      <w:r>
        <w:rPr>
          <w:rFonts w:hint="eastAsia" w:eastAsia="仿宋_GB2312"/>
          <w:sz w:val="32"/>
          <w:szCs w:val="32"/>
        </w:rPr>
        <w:t>经营管理型重点培养新型农业经营主体带头人、创新创业带头人和农业经理人，提升培训对象的生产组织、人员管理、市场开拓、产品营销和风险防控能力。</w:t>
      </w:r>
    </w:p>
    <w:p>
      <w:pPr>
        <w:ind w:firstLine="640" w:firstLineChars="200"/>
        <w:rPr>
          <w:rFonts w:eastAsia="仿宋_GB2312"/>
          <w:sz w:val="32"/>
          <w:szCs w:val="32"/>
        </w:rPr>
      </w:pPr>
      <w:r>
        <w:rPr>
          <w:rFonts w:hint="eastAsia" w:eastAsia="仿宋_GB2312"/>
          <w:sz w:val="32"/>
          <w:szCs w:val="32"/>
        </w:rPr>
        <w:t>专业生产型主要培养掌握现代农业生产技术并直接从事种植、养殖和农产品加工的高素质农业劳动者，提升培训对象的生产组织能力和技术技能水平，提高其生产效率、质量标准和绿色发展水平。</w:t>
      </w:r>
    </w:p>
    <w:p>
      <w:pPr>
        <w:ind w:firstLine="640" w:firstLineChars="200"/>
        <w:rPr>
          <w:rFonts w:eastAsia="仿宋_GB2312"/>
          <w:sz w:val="32"/>
          <w:szCs w:val="32"/>
        </w:rPr>
      </w:pPr>
      <w:r>
        <w:rPr>
          <w:rFonts w:hint="eastAsia" w:eastAsia="仿宋_GB2312"/>
          <w:sz w:val="32"/>
          <w:szCs w:val="32"/>
        </w:rPr>
        <w:t>技能服务型主要培养掌握专业知识技能的农业专业技术服务人员，提升培训对象所从事产业或所在岗位的核心能力、专业知识和操作技能，以及为农业生产提供专业化服务的能力水平。</w:t>
      </w:r>
    </w:p>
    <w:p>
      <w:pPr>
        <w:ind w:firstLine="640" w:firstLineChars="200"/>
        <w:rPr>
          <w:rFonts w:hint="eastAsia" w:ascii="黑体" w:hAnsi="黑体" w:eastAsia="黑体"/>
          <w:sz w:val="32"/>
          <w:szCs w:val="32"/>
        </w:rPr>
      </w:pPr>
      <w:r>
        <w:rPr>
          <w:rFonts w:hint="eastAsia" w:ascii="黑体" w:hAnsi="黑体" w:eastAsia="黑体"/>
          <w:sz w:val="32"/>
          <w:szCs w:val="32"/>
        </w:rPr>
        <w:t>七、培训层级</w:t>
      </w:r>
    </w:p>
    <w:p>
      <w:pPr>
        <w:ind w:firstLine="640" w:firstLineChars="200"/>
        <w:rPr>
          <w:rFonts w:eastAsia="仿宋_GB2312"/>
          <w:sz w:val="32"/>
          <w:szCs w:val="32"/>
        </w:rPr>
      </w:pPr>
      <w:r>
        <w:rPr>
          <w:rFonts w:hint="eastAsia" w:eastAsia="仿宋_GB2312"/>
          <w:sz w:val="32"/>
          <w:szCs w:val="32"/>
        </w:rPr>
        <w:t>农业农村部组织开展管理者、师资和优秀学员示范性培训。省级农业农村部门主要开展农业产业领军人才、农业经理人和师资培训，以及组织农民合作社带头人、家庭农场经营者高级班。地市级和县级农业农村部门负责新型农业经营主体和服务主体经营者培训、返乡入乡创新创业者培训、专业生产型和技能服务型培训等。</w:t>
      </w: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八、培训模块</w:t>
      </w:r>
    </w:p>
    <w:p>
      <w:pPr>
        <w:ind w:firstLine="640" w:firstLineChars="200"/>
        <w:rPr>
          <w:rFonts w:eastAsia="仿宋_GB2312"/>
          <w:color w:val="000000"/>
          <w:sz w:val="32"/>
          <w:szCs w:val="32"/>
        </w:rPr>
      </w:pPr>
      <w:r>
        <w:rPr>
          <w:rFonts w:hint="eastAsia" w:eastAsia="仿宋_GB2312"/>
          <w:color w:val="000000"/>
          <w:sz w:val="32"/>
          <w:szCs w:val="32"/>
        </w:rPr>
        <w:t>建立</w:t>
      </w:r>
      <w:r>
        <w:rPr>
          <w:rFonts w:hint="eastAsia" w:eastAsia="仿宋_GB2312"/>
          <w:color w:val="auto"/>
          <w:sz w:val="32"/>
          <w:szCs w:val="32"/>
        </w:rPr>
        <w:t>模块化课程体系</w:t>
      </w:r>
      <w:r>
        <w:rPr>
          <w:rFonts w:hint="eastAsia" w:eastAsia="仿宋_GB2312"/>
          <w:color w:val="000000"/>
          <w:sz w:val="32"/>
          <w:szCs w:val="32"/>
        </w:rPr>
        <w:t>，培训机构应遵循高素质农民培训模块要求（见附件）规定，设计培训班课程。培训课程体系分为综合素养课、专业能力课、能力拓展课三类。综合素养课包括但不限于思想政治、农业通识、农业农村政策法规、文化素养等课程；专业能力课包括但不限于乡村治理、农业生产技术、农业经营管理、农产品营销、绿色发展等课程；能力拓展课由培训机构根据培训对象和培训目标自行设计。培训机构结合实际情况，合理选择集中或分时段开展培训。</w:t>
      </w:r>
    </w:p>
    <w:p>
      <w:pPr>
        <w:ind w:firstLine="640" w:firstLineChars="200"/>
        <w:rPr>
          <w:rFonts w:eastAsia="仿宋_GB2312"/>
          <w:color w:val="000000"/>
          <w:sz w:val="32"/>
          <w:szCs w:val="32"/>
        </w:rPr>
      </w:pPr>
      <w:r>
        <w:rPr>
          <w:rFonts w:hint="eastAsia" w:eastAsia="仿宋_GB2312"/>
          <w:color w:val="000000"/>
          <w:sz w:val="32"/>
          <w:szCs w:val="32"/>
        </w:rPr>
        <w:t>实行“行政主管部门第一课”，由地方各级农业农村部门为本级开展的培训班讲授第一课。</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九、培训机构</w:t>
      </w:r>
    </w:p>
    <w:p>
      <w:pPr>
        <w:ind w:firstLine="640" w:firstLineChars="200"/>
        <w:rPr>
          <w:rFonts w:hint="eastAsia" w:eastAsia="仿宋_GB2312"/>
          <w:color w:val="000000"/>
          <w:sz w:val="32"/>
          <w:szCs w:val="32"/>
        </w:rPr>
      </w:pPr>
      <w:r>
        <w:rPr>
          <w:rFonts w:hint="eastAsia" w:eastAsia="仿宋_GB2312"/>
          <w:color w:val="000000"/>
          <w:sz w:val="32"/>
          <w:szCs w:val="32"/>
        </w:rPr>
        <w:t>县级及以上农业农村部门</w:t>
      </w:r>
      <w:r>
        <w:rPr>
          <w:rFonts w:hint="eastAsia" w:eastAsia="仿宋_GB2312"/>
          <w:b w:val="0"/>
          <w:bCs/>
          <w:color w:val="auto"/>
          <w:sz w:val="32"/>
          <w:szCs w:val="32"/>
        </w:rPr>
        <w:t>指定或遴选</w:t>
      </w:r>
      <w:r>
        <w:rPr>
          <w:rFonts w:hint="eastAsia" w:eastAsia="仿宋_GB2312"/>
          <w:color w:val="000000"/>
          <w:sz w:val="32"/>
          <w:szCs w:val="32"/>
        </w:rPr>
        <w:t>培训机构承担培训任务。培训机构应具备培训</w:t>
      </w:r>
      <w:r>
        <w:rPr>
          <w:rFonts w:hint="eastAsia" w:eastAsia="仿宋_GB2312"/>
          <w:color w:val="000000"/>
          <w:sz w:val="32"/>
          <w:szCs w:val="32"/>
          <w:lang w:eastAsia="zh-CN"/>
        </w:rPr>
        <w:t>必需的</w:t>
      </w:r>
      <w:r>
        <w:rPr>
          <w:rFonts w:hint="eastAsia" w:eastAsia="仿宋_GB2312"/>
          <w:color w:val="000000"/>
          <w:sz w:val="32"/>
          <w:szCs w:val="32"/>
        </w:rPr>
        <w:t>教学、实践、管理条件，包括：</w:t>
      </w:r>
    </w:p>
    <w:p>
      <w:pPr>
        <w:ind w:firstLine="640" w:firstLineChars="200"/>
        <w:rPr>
          <w:rFonts w:hint="eastAsia" w:eastAsia="仿宋_GB2312"/>
          <w:color w:val="000000"/>
          <w:sz w:val="32"/>
          <w:szCs w:val="32"/>
        </w:rPr>
      </w:pPr>
      <w:r>
        <w:rPr>
          <w:rFonts w:hint="eastAsia" w:eastAsia="仿宋_GB2312"/>
          <w:color w:val="000000"/>
          <w:sz w:val="32"/>
          <w:szCs w:val="32"/>
        </w:rPr>
        <w:t>（一）课堂集中教学场所及配套设施设备；</w:t>
      </w:r>
    </w:p>
    <w:p>
      <w:pPr>
        <w:ind w:firstLine="640" w:firstLineChars="200"/>
        <w:rPr>
          <w:rFonts w:hint="eastAsia" w:eastAsia="仿宋_GB2312"/>
          <w:color w:val="000000"/>
          <w:sz w:val="32"/>
          <w:szCs w:val="32"/>
        </w:rPr>
      </w:pPr>
      <w:r>
        <w:rPr>
          <w:rFonts w:hint="eastAsia" w:eastAsia="仿宋_GB2312"/>
          <w:color w:val="000000"/>
          <w:sz w:val="32"/>
          <w:szCs w:val="32"/>
        </w:rPr>
        <w:t>（二）实习实训场所或合作实训基地；</w:t>
      </w:r>
    </w:p>
    <w:p>
      <w:pPr>
        <w:ind w:firstLine="640" w:firstLineChars="200"/>
        <w:rPr>
          <w:rFonts w:eastAsia="仿宋_GB2312"/>
          <w:color w:val="000000"/>
          <w:sz w:val="32"/>
          <w:szCs w:val="32"/>
        </w:rPr>
      </w:pPr>
      <w:r>
        <w:rPr>
          <w:rFonts w:hint="eastAsia" w:eastAsia="仿宋_GB2312"/>
          <w:color w:val="000000"/>
          <w:sz w:val="32"/>
          <w:szCs w:val="32"/>
        </w:rPr>
        <w:t>（三）专职教学管理人员和专兼职教师队伍；</w:t>
      </w:r>
    </w:p>
    <w:p>
      <w:pPr>
        <w:ind w:firstLine="640" w:firstLineChars="200"/>
        <w:rPr>
          <w:rFonts w:hint="eastAsia" w:eastAsia="仿宋_GB2312"/>
          <w:color w:val="000000"/>
          <w:sz w:val="32"/>
          <w:szCs w:val="32"/>
        </w:rPr>
      </w:pPr>
      <w:r>
        <w:rPr>
          <w:rFonts w:hint="eastAsia" w:eastAsia="仿宋_GB2312"/>
          <w:color w:val="000000"/>
          <w:sz w:val="32"/>
          <w:szCs w:val="32"/>
        </w:rPr>
        <w:t>（四）培训目标所要求的其他</w:t>
      </w:r>
      <w:r>
        <w:rPr>
          <w:rFonts w:hint="eastAsia" w:ascii="仿宋_GB2312" w:hAnsi="微软雅黑" w:eastAsia="仿宋_GB2312" w:cs="微软雅黑"/>
          <w:color w:val="000000"/>
          <w:sz w:val="32"/>
          <w:szCs w:val="32"/>
        </w:rPr>
        <w:t>软硬件</w:t>
      </w:r>
      <w:r>
        <w:rPr>
          <w:rFonts w:hint="eastAsia" w:eastAsia="仿宋_GB2312"/>
          <w:color w:val="000000"/>
          <w:sz w:val="32"/>
          <w:szCs w:val="32"/>
        </w:rPr>
        <w:t>条件。</w:t>
      </w:r>
    </w:p>
    <w:p>
      <w:pPr>
        <w:ind w:firstLine="640" w:firstLineChars="200"/>
        <w:rPr>
          <w:rFonts w:hint="eastAsia" w:eastAsia="仿宋_GB2312"/>
          <w:color w:val="000000"/>
          <w:sz w:val="32"/>
          <w:szCs w:val="32"/>
        </w:rPr>
      </w:pPr>
      <w:r>
        <w:rPr>
          <w:rFonts w:eastAsia="仿宋_GB2312"/>
          <w:color w:val="000000"/>
          <w:sz w:val="32"/>
          <w:szCs w:val="32"/>
        </w:rPr>
        <w:t>未按期完成培训任务的，下一年不再承担培训任务。</w:t>
      </w:r>
      <w:r>
        <w:rPr>
          <w:rFonts w:hint="eastAsia" w:eastAsia="仿宋_GB2312"/>
          <w:color w:val="000000"/>
          <w:sz w:val="32"/>
          <w:szCs w:val="32"/>
        </w:rPr>
        <w:t>私自分包、转包培训任务的，取消当年培训任务并追缴项目资金，</w:t>
      </w:r>
      <w:r>
        <w:rPr>
          <w:rFonts w:eastAsia="仿宋_GB2312"/>
          <w:color w:val="000000"/>
          <w:sz w:val="32"/>
          <w:szCs w:val="32"/>
        </w:rPr>
        <w:t>从</w:t>
      </w:r>
      <w:r>
        <w:rPr>
          <w:rFonts w:hint="eastAsia" w:eastAsia="仿宋_GB2312"/>
          <w:color w:val="auto"/>
          <w:sz w:val="32"/>
          <w:szCs w:val="32"/>
        </w:rPr>
        <w:t>培训机构</w:t>
      </w:r>
      <w:r>
        <w:rPr>
          <w:rFonts w:eastAsia="仿宋_GB2312"/>
          <w:color w:val="auto"/>
          <w:sz w:val="32"/>
          <w:szCs w:val="32"/>
        </w:rPr>
        <w:t>库</w:t>
      </w:r>
      <w:r>
        <w:rPr>
          <w:rFonts w:eastAsia="仿宋_GB2312"/>
          <w:color w:val="000000"/>
          <w:sz w:val="32"/>
          <w:szCs w:val="32"/>
        </w:rPr>
        <w:t>中除名</w:t>
      </w:r>
      <w:r>
        <w:rPr>
          <w:rFonts w:hint="eastAsia" w:eastAsia="仿宋_GB2312"/>
          <w:color w:val="000000"/>
          <w:sz w:val="32"/>
          <w:szCs w:val="32"/>
        </w:rPr>
        <w:t>，5年内不得再次申请入库。</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十、开班计划</w:t>
      </w:r>
    </w:p>
    <w:p>
      <w:pPr>
        <w:ind w:firstLine="640" w:firstLineChars="200"/>
        <w:rPr>
          <w:rFonts w:eastAsia="仿宋_GB2312"/>
          <w:sz w:val="32"/>
          <w:szCs w:val="32"/>
        </w:rPr>
      </w:pPr>
      <w:r>
        <w:rPr>
          <w:rFonts w:hint="eastAsia" w:eastAsia="仿宋_GB2312"/>
          <w:bCs/>
          <w:kern w:val="0"/>
          <w:sz w:val="32"/>
          <w:szCs w:val="32"/>
          <w:lang w:val="zh-CN"/>
        </w:rPr>
        <w:t>培训机构制定开班计划，报所在地农业农村部门批准后公开发布，接受农民报名。培训机构应严格按照开班计划实施培训，未经批准不得擅自更改。</w:t>
      </w:r>
      <w:r>
        <w:rPr>
          <w:rFonts w:eastAsia="仿宋_GB2312"/>
          <w:sz w:val="32"/>
          <w:szCs w:val="32"/>
        </w:rPr>
        <w:t>原则上每班不超过100人</w:t>
      </w:r>
      <w:r>
        <w:rPr>
          <w:rFonts w:hint="eastAsia" w:eastAsia="仿宋_GB2312"/>
          <w:sz w:val="32"/>
          <w:szCs w:val="32"/>
        </w:rPr>
        <w:t>，以实习实训为主的培训每班不超过5</w:t>
      </w:r>
      <w:r>
        <w:rPr>
          <w:rFonts w:eastAsia="仿宋_GB2312"/>
          <w:sz w:val="32"/>
          <w:szCs w:val="32"/>
        </w:rPr>
        <w:t>0</w:t>
      </w:r>
      <w:r>
        <w:rPr>
          <w:rFonts w:hint="eastAsia" w:eastAsia="仿宋_GB2312"/>
          <w:sz w:val="32"/>
          <w:szCs w:val="32"/>
        </w:rPr>
        <w:t>人。</w:t>
      </w:r>
    </w:p>
    <w:p>
      <w:pPr>
        <w:ind w:firstLine="640" w:firstLineChars="200"/>
        <w:rPr>
          <w:rFonts w:eastAsia="仿宋_GB2312"/>
          <w:b/>
          <w:bCs/>
          <w:kern w:val="0"/>
          <w:sz w:val="32"/>
          <w:szCs w:val="32"/>
          <w:lang w:val="zh-CN"/>
        </w:rPr>
      </w:pPr>
      <w:r>
        <w:rPr>
          <w:rFonts w:hint="eastAsia" w:eastAsia="仿宋_GB2312"/>
          <w:color w:val="000000"/>
          <w:sz w:val="32"/>
          <w:szCs w:val="32"/>
        </w:rPr>
        <w:t>培训机构应指定专人负责培训班组织管理和教学辅助，建立完善的培训班管理制度</w:t>
      </w:r>
      <w:r>
        <w:rPr>
          <w:rFonts w:hint="eastAsia" w:eastAsia="仿宋_GB2312"/>
          <w:bCs/>
          <w:kern w:val="0"/>
          <w:sz w:val="32"/>
          <w:szCs w:val="32"/>
          <w:lang w:val="zh-CN"/>
        </w:rPr>
        <w:t>，加强培训班党建工作</w:t>
      </w:r>
      <w:r>
        <w:rPr>
          <w:rFonts w:eastAsia="仿宋_GB2312"/>
          <w:sz w:val="32"/>
          <w:szCs w:val="32"/>
        </w:rPr>
        <w:t>。</w:t>
      </w:r>
      <w:r>
        <w:rPr>
          <w:rFonts w:eastAsia="仿宋_GB2312"/>
          <w:b/>
          <w:sz w:val="32"/>
          <w:szCs w:val="32"/>
        </w:rPr>
        <w:t>市县农业农村部门</w:t>
      </w:r>
      <w:r>
        <w:rPr>
          <w:rFonts w:hint="eastAsia" w:eastAsia="仿宋_GB2312"/>
          <w:b/>
          <w:sz w:val="32"/>
          <w:szCs w:val="32"/>
        </w:rPr>
        <w:t>对培训情况实施过程监管和质量评价，</w:t>
      </w:r>
      <w:r>
        <w:rPr>
          <w:rFonts w:hint="eastAsia" w:eastAsia="仿宋_GB2312"/>
          <w:b/>
          <w:bCs/>
          <w:kern w:val="0"/>
          <w:sz w:val="32"/>
          <w:szCs w:val="32"/>
          <w:lang w:val="zh-CN"/>
        </w:rPr>
        <w:t>开展相应数据管理和信息宣传。</w:t>
      </w:r>
    </w:p>
    <w:p>
      <w:pPr>
        <w:ind w:firstLine="640" w:firstLineChars="200"/>
        <w:rPr>
          <w:rFonts w:hint="eastAsia" w:eastAsia="仿宋_GB2312"/>
          <w:sz w:val="32"/>
          <w:szCs w:val="32"/>
          <w:highlight w:val="none"/>
        </w:rPr>
      </w:pPr>
      <w:r>
        <w:rPr>
          <w:rFonts w:hint="eastAsia" w:eastAsia="仿宋_GB2312"/>
          <w:sz w:val="32"/>
          <w:szCs w:val="32"/>
          <w:highlight w:val="none"/>
        </w:rPr>
        <w:t>承担其他省、市、县农业农村部门委托的培训任务的培训机构，应与委托单位签订购买服务合同。</w:t>
      </w:r>
    </w:p>
    <w:p>
      <w:pPr>
        <w:adjustRightInd w:val="0"/>
        <w:spacing w:line="600" w:lineRule="exact"/>
        <w:ind w:firstLine="640" w:firstLineChars="200"/>
        <w:rPr>
          <w:rFonts w:eastAsia="黑体"/>
          <w:color w:val="000000"/>
          <w:sz w:val="32"/>
          <w:szCs w:val="32"/>
        </w:rPr>
      </w:pPr>
      <w:r>
        <w:rPr>
          <w:rFonts w:hint="eastAsia" w:eastAsia="黑体"/>
          <w:color w:val="000000"/>
          <w:sz w:val="32"/>
          <w:szCs w:val="32"/>
        </w:rPr>
        <w:t>十一、</w:t>
      </w:r>
      <w:r>
        <w:rPr>
          <w:rFonts w:eastAsia="黑体"/>
          <w:color w:val="000000"/>
          <w:sz w:val="32"/>
          <w:szCs w:val="32"/>
        </w:rPr>
        <w:t>培训形式</w:t>
      </w:r>
    </w:p>
    <w:p>
      <w:pPr>
        <w:ind w:firstLine="640" w:firstLineChars="200"/>
        <w:rPr>
          <w:rFonts w:eastAsia="仿宋_GB2312"/>
          <w:sz w:val="32"/>
          <w:szCs w:val="32"/>
        </w:rPr>
      </w:pPr>
      <w:r>
        <w:rPr>
          <w:rFonts w:hint="eastAsia" w:eastAsia="仿宋_GB2312"/>
          <w:bCs/>
          <w:kern w:val="0"/>
          <w:sz w:val="32"/>
          <w:szCs w:val="32"/>
          <w:lang w:val="zh-CN"/>
        </w:rPr>
        <w:t>培训班</w:t>
      </w:r>
      <w:r>
        <w:rPr>
          <w:rFonts w:eastAsia="仿宋_GB2312"/>
          <w:sz w:val="32"/>
          <w:szCs w:val="32"/>
        </w:rPr>
        <w:t>主要通过课堂教学、现场教学、线上学习相结合的形式进行</w:t>
      </w:r>
      <w:r>
        <w:rPr>
          <w:rFonts w:hint="eastAsia" w:eastAsia="仿宋_GB2312"/>
          <w:sz w:val="32"/>
          <w:szCs w:val="32"/>
        </w:rPr>
        <w:t>培训，农业经理人培训增加模拟教学，返乡入乡创新创业者培训增加孵化指导。鼓励培训机构创新教学方法，改进培训形式，提高教学效果。</w:t>
      </w:r>
    </w:p>
    <w:p>
      <w:pPr>
        <w:ind w:firstLine="643" w:firstLineChars="200"/>
        <w:rPr>
          <w:rFonts w:eastAsia="仿宋_GB2312"/>
          <w:sz w:val="32"/>
          <w:szCs w:val="32"/>
        </w:rPr>
      </w:pPr>
      <w:r>
        <w:rPr>
          <w:rFonts w:hint="eastAsia" w:ascii="楷体_GB2312" w:hAnsi="楷体" w:eastAsia="楷体_GB2312"/>
          <w:b/>
          <w:sz w:val="32"/>
          <w:szCs w:val="32"/>
        </w:rPr>
        <w:t>（一）课堂教学。</w:t>
      </w:r>
      <w:r>
        <w:rPr>
          <w:rFonts w:hint="eastAsia" w:eastAsia="仿宋_GB2312"/>
          <w:sz w:val="32"/>
          <w:szCs w:val="32"/>
        </w:rPr>
        <w:t>以</w:t>
      </w:r>
      <w:r>
        <w:rPr>
          <w:rFonts w:eastAsia="仿宋_GB2312"/>
          <w:sz w:val="32"/>
          <w:szCs w:val="32"/>
        </w:rPr>
        <w:t>团队建设、集中授课、典型介绍、案例教学、项目路演、</w:t>
      </w:r>
      <w:r>
        <w:rPr>
          <w:rFonts w:hint="eastAsia" w:eastAsia="仿宋_GB2312"/>
          <w:sz w:val="32"/>
          <w:szCs w:val="32"/>
        </w:rPr>
        <w:t>讨论</w:t>
      </w:r>
      <w:r>
        <w:rPr>
          <w:rFonts w:eastAsia="仿宋_GB2312"/>
          <w:sz w:val="32"/>
          <w:szCs w:val="32"/>
        </w:rPr>
        <w:t>交流等形式开展。</w:t>
      </w:r>
    </w:p>
    <w:p>
      <w:pPr>
        <w:ind w:firstLine="643" w:firstLineChars="200"/>
        <w:rPr>
          <w:rFonts w:eastAsia="仿宋_GB2312"/>
          <w:sz w:val="32"/>
          <w:szCs w:val="32"/>
        </w:rPr>
      </w:pPr>
      <w:r>
        <w:rPr>
          <w:rFonts w:hint="eastAsia" w:ascii="楷体_GB2312" w:hAnsi="楷体" w:eastAsia="楷体_GB2312"/>
          <w:b/>
          <w:sz w:val="32"/>
          <w:szCs w:val="32"/>
        </w:rPr>
        <w:t>（二）</w:t>
      </w:r>
      <w:r>
        <w:rPr>
          <w:rFonts w:ascii="楷体_GB2312" w:hAnsi="楷体" w:eastAsia="楷体_GB2312"/>
          <w:b/>
          <w:sz w:val="32"/>
          <w:szCs w:val="32"/>
        </w:rPr>
        <w:t>现场教学</w:t>
      </w:r>
      <w:r>
        <w:rPr>
          <w:rFonts w:hint="eastAsia" w:ascii="楷体_GB2312" w:hAnsi="楷体" w:eastAsia="楷体_GB2312"/>
          <w:b/>
          <w:sz w:val="32"/>
          <w:szCs w:val="32"/>
        </w:rPr>
        <w:t>。</w:t>
      </w:r>
      <w:r>
        <w:rPr>
          <w:rFonts w:eastAsia="仿宋_GB2312"/>
          <w:sz w:val="32"/>
          <w:szCs w:val="32"/>
        </w:rPr>
        <w:t>组织学员到</w:t>
      </w:r>
      <w:r>
        <w:rPr>
          <w:rFonts w:hint="eastAsia" w:eastAsia="仿宋_GB2312"/>
          <w:color w:val="000000"/>
          <w:sz w:val="32"/>
          <w:szCs w:val="32"/>
        </w:rPr>
        <w:t>实习实践场所或合作实训基地</w:t>
      </w:r>
      <w:r>
        <w:rPr>
          <w:rFonts w:eastAsia="仿宋_GB2312"/>
          <w:sz w:val="32"/>
          <w:szCs w:val="32"/>
        </w:rPr>
        <w:t>动手操作</w:t>
      </w:r>
      <w:r>
        <w:rPr>
          <w:rFonts w:hint="eastAsia" w:eastAsia="仿宋_GB2312"/>
          <w:sz w:val="32"/>
          <w:szCs w:val="32"/>
        </w:rPr>
        <w:t>、</w:t>
      </w:r>
      <w:r>
        <w:rPr>
          <w:rFonts w:eastAsia="仿宋_GB2312"/>
          <w:sz w:val="32"/>
          <w:szCs w:val="32"/>
        </w:rPr>
        <w:t>实地体验、现场交流。</w:t>
      </w:r>
    </w:p>
    <w:p>
      <w:pPr>
        <w:ind w:firstLine="643" w:firstLineChars="200"/>
        <w:rPr>
          <w:rFonts w:eastAsia="仿宋_GB2312"/>
          <w:sz w:val="32"/>
          <w:szCs w:val="32"/>
        </w:rPr>
      </w:pPr>
      <w:r>
        <w:rPr>
          <w:rFonts w:hint="eastAsia" w:ascii="楷体_GB2312" w:hAnsi="楷体" w:eastAsia="楷体_GB2312"/>
          <w:b/>
          <w:sz w:val="32"/>
          <w:szCs w:val="32"/>
        </w:rPr>
        <w:t>（三）</w:t>
      </w:r>
      <w:r>
        <w:rPr>
          <w:rFonts w:ascii="楷体_GB2312" w:hAnsi="楷体" w:eastAsia="楷体_GB2312"/>
          <w:b/>
          <w:sz w:val="32"/>
          <w:szCs w:val="32"/>
        </w:rPr>
        <w:t>线上学习</w:t>
      </w:r>
      <w:r>
        <w:rPr>
          <w:rFonts w:hint="eastAsia" w:ascii="楷体_GB2312" w:hAnsi="楷体" w:eastAsia="楷体_GB2312"/>
          <w:b/>
          <w:sz w:val="32"/>
          <w:szCs w:val="32"/>
        </w:rPr>
        <w:t>。</w:t>
      </w:r>
      <w:r>
        <w:rPr>
          <w:rFonts w:hint="eastAsia" w:eastAsia="仿宋_GB2312"/>
          <w:sz w:val="32"/>
          <w:szCs w:val="32"/>
        </w:rPr>
        <w:t>通过</w:t>
      </w:r>
      <w:r>
        <w:rPr>
          <w:rFonts w:eastAsia="仿宋_GB2312"/>
          <w:sz w:val="32"/>
          <w:szCs w:val="32"/>
        </w:rPr>
        <w:t>“云上智农”</w:t>
      </w:r>
      <w:r>
        <w:rPr>
          <w:rFonts w:hint="eastAsia" w:eastAsia="仿宋_GB2312"/>
          <w:sz w:val="32"/>
          <w:szCs w:val="32"/>
        </w:rPr>
        <w:t>手机应用程序</w:t>
      </w:r>
      <w:r>
        <w:rPr>
          <w:rFonts w:eastAsia="仿宋_GB2312"/>
          <w:sz w:val="32"/>
          <w:szCs w:val="32"/>
        </w:rPr>
        <w:t>、中国农村远程教育网在线学习平台</w:t>
      </w:r>
      <w:r>
        <w:rPr>
          <w:rFonts w:hint="eastAsia" w:eastAsia="仿宋_GB2312"/>
          <w:sz w:val="32"/>
          <w:szCs w:val="32"/>
        </w:rPr>
        <w:t>等开展</w:t>
      </w:r>
      <w:r>
        <w:rPr>
          <w:rFonts w:eastAsia="仿宋_GB2312"/>
          <w:sz w:val="32"/>
          <w:szCs w:val="32"/>
        </w:rPr>
        <w:t>网络直播、课件学习、在线练习、线上辅导</w:t>
      </w:r>
      <w:r>
        <w:rPr>
          <w:rFonts w:hint="eastAsia" w:eastAsia="仿宋_GB2312"/>
          <w:sz w:val="32"/>
          <w:szCs w:val="32"/>
        </w:rPr>
        <w:t>，</w:t>
      </w:r>
      <w:r>
        <w:rPr>
          <w:rFonts w:eastAsia="仿宋_GB2312"/>
          <w:sz w:val="32"/>
          <w:szCs w:val="32"/>
        </w:rPr>
        <w:t>实现线上线下培训相结合。</w:t>
      </w:r>
    </w:p>
    <w:p>
      <w:pPr>
        <w:ind w:firstLine="643" w:firstLineChars="200"/>
        <w:rPr>
          <w:rFonts w:eastAsia="仿宋_GB2312"/>
          <w:sz w:val="32"/>
          <w:szCs w:val="32"/>
        </w:rPr>
      </w:pPr>
      <w:r>
        <w:rPr>
          <w:rFonts w:hint="eastAsia" w:ascii="楷体_GB2312" w:hAnsi="楷体" w:eastAsia="楷体_GB2312"/>
          <w:b/>
          <w:sz w:val="32"/>
          <w:szCs w:val="32"/>
        </w:rPr>
        <w:t>（四）</w:t>
      </w:r>
      <w:r>
        <w:rPr>
          <w:rFonts w:ascii="楷体_GB2312" w:hAnsi="楷体" w:eastAsia="楷体_GB2312"/>
          <w:b/>
          <w:sz w:val="32"/>
          <w:szCs w:val="32"/>
        </w:rPr>
        <w:t>模拟教学</w:t>
      </w:r>
      <w:r>
        <w:rPr>
          <w:rFonts w:hint="eastAsia" w:ascii="楷体_GB2312" w:hAnsi="楷体" w:eastAsia="楷体_GB2312"/>
          <w:b/>
          <w:sz w:val="32"/>
          <w:szCs w:val="32"/>
        </w:rPr>
        <w:t>。</w:t>
      </w:r>
      <w:r>
        <w:rPr>
          <w:rFonts w:hint="eastAsia" w:eastAsia="仿宋_GB2312"/>
          <w:sz w:val="32"/>
          <w:szCs w:val="32"/>
        </w:rPr>
        <w:t>包括</w:t>
      </w:r>
      <w:r>
        <w:rPr>
          <w:rFonts w:eastAsia="仿宋_GB2312"/>
          <w:sz w:val="32"/>
          <w:szCs w:val="32"/>
        </w:rPr>
        <w:t>模拟演练</w:t>
      </w:r>
      <w:r>
        <w:rPr>
          <w:rFonts w:hint="eastAsia" w:eastAsia="仿宋_GB2312"/>
          <w:sz w:val="32"/>
          <w:szCs w:val="32"/>
        </w:rPr>
        <w:t>、</w:t>
      </w:r>
      <w:r>
        <w:rPr>
          <w:rFonts w:eastAsia="仿宋_GB2312"/>
          <w:sz w:val="32"/>
          <w:szCs w:val="32"/>
        </w:rPr>
        <w:t>情景体验</w:t>
      </w:r>
      <w:r>
        <w:rPr>
          <w:rFonts w:hint="eastAsia" w:eastAsia="仿宋_GB2312"/>
          <w:sz w:val="32"/>
          <w:szCs w:val="32"/>
        </w:rPr>
        <w:t>等现场拟真教学形式</w:t>
      </w:r>
      <w:r>
        <w:rPr>
          <w:rFonts w:eastAsia="仿宋_GB2312"/>
          <w:sz w:val="32"/>
          <w:szCs w:val="32"/>
        </w:rPr>
        <w:t>。</w:t>
      </w:r>
    </w:p>
    <w:p>
      <w:pPr>
        <w:ind w:firstLine="643" w:firstLineChars="200"/>
        <w:rPr>
          <w:rFonts w:eastAsia="仿宋_GB2312"/>
          <w:sz w:val="32"/>
          <w:szCs w:val="32"/>
        </w:rPr>
      </w:pPr>
      <w:r>
        <w:rPr>
          <w:rFonts w:hint="eastAsia" w:ascii="楷体_GB2312" w:hAnsi="楷体" w:eastAsia="楷体_GB2312"/>
          <w:b/>
          <w:sz w:val="32"/>
          <w:szCs w:val="32"/>
        </w:rPr>
        <w:t>（五）</w:t>
      </w:r>
      <w:r>
        <w:rPr>
          <w:rFonts w:ascii="楷体_GB2312" w:hAnsi="楷体" w:eastAsia="楷体_GB2312"/>
          <w:b/>
          <w:sz w:val="32"/>
          <w:szCs w:val="32"/>
        </w:rPr>
        <w:t>孵化指导</w:t>
      </w:r>
      <w:r>
        <w:rPr>
          <w:rFonts w:hint="eastAsia" w:ascii="楷体_GB2312" w:hAnsi="楷体" w:eastAsia="楷体_GB2312"/>
          <w:b/>
          <w:sz w:val="32"/>
          <w:szCs w:val="32"/>
        </w:rPr>
        <w:t>。</w:t>
      </w:r>
      <w:r>
        <w:rPr>
          <w:rFonts w:eastAsia="仿宋_GB2312"/>
          <w:sz w:val="32"/>
          <w:szCs w:val="32"/>
        </w:rPr>
        <w:t>在模拟创业环境下</w:t>
      </w:r>
      <w:r>
        <w:rPr>
          <w:rFonts w:hint="eastAsia" w:eastAsia="仿宋_GB2312"/>
          <w:sz w:val="32"/>
          <w:szCs w:val="32"/>
        </w:rPr>
        <w:t>，</w:t>
      </w:r>
      <w:r>
        <w:rPr>
          <w:rFonts w:eastAsia="仿宋_GB2312"/>
          <w:sz w:val="32"/>
          <w:szCs w:val="32"/>
        </w:rPr>
        <w:t>组织学员创业见习和创业实训，演练创业过程。</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十二、培训师资</w:t>
      </w:r>
    </w:p>
    <w:p>
      <w:pPr>
        <w:ind w:firstLine="640" w:firstLineChars="200"/>
        <w:rPr>
          <w:rFonts w:ascii="仿宋_GB2312" w:hAnsi="楷体" w:eastAsia="仿宋_GB2312"/>
          <w:bCs/>
          <w:color w:val="FF0000"/>
          <w:sz w:val="32"/>
          <w:szCs w:val="32"/>
        </w:rPr>
      </w:pPr>
      <w:r>
        <w:rPr>
          <w:rFonts w:hint="eastAsia" w:ascii="仿宋_GB2312" w:hAnsi="楷体" w:eastAsia="仿宋_GB2312"/>
          <w:bCs/>
          <w:color w:val="000000"/>
          <w:sz w:val="32"/>
          <w:szCs w:val="32"/>
        </w:rPr>
        <w:t>农民培训师资类型包括理论教师、技术讲师、政策讲师、实践讲师、创业导师。</w:t>
      </w:r>
      <w:r>
        <w:rPr>
          <w:rFonts w:hint="eastAsia" w:ascii="仿宋_GB2312" w:hAnsi="楷体" w:eastAsia="仿宋_GB2312"/>
          <w:bCs/>
          <w:color w:val="auto"/>
          <w:sz w:val="32"/>
          <w:szCs w:val="32"/>
        </w:rPr>
        <w:t>理论教师应当为具有相关专业教师资格的正规院校教师。技术讲师可为具备相应技术理论和实践能力的院校教师、</w:t>
      </w:r>
      <w:r>
        <w:rPr>
          <w:rFonts w:hint="eastAsia" w:ascii="仿宋_GB2312" w:eastAsia="仿宋_GB2312"/>
          <w:bCs/>
          <w:color w:val="auto"/>
          <w:sz w:val="32"/>
          <w:szCs w:val="32"/>
        </w:rPr>
        <w:t>科研推广机构专家、各类农业主体专业技术人员或田秀才土专家。政策讲师应当为熟悉“三农”情况、具备相应政策理论水平的院校教师或行政部门管理人员。实践讲师应</w:t>
      </w:r>
      <w:r>
        <w:rPr>
          <w:rFonts w:hint="eastAsia" w:eastAsia="仿宋_GB2312"/>
          <w:color w:val="auto"/>
          <w:sz w:val="32"/>
          <w:szCs w:val="32"/>
        </w:rPr>
        <w:t>具备相应职业技能证书或3年以上（含）实践经验。</w:t>
      </w:r>
      <w:r>
        <w:rPr>
          <w:rFonts w:hint="eastAsia" w:ascii="仿宋_GB2312" w:hAnsi="楷体" w:eastAsia="仿宋_GB2312"/>
          <w:bCs/>
          <w:color w:val="auto"/>
          <w:sz w:val="32"/>
          <w:szCs w:val="32"/>
        </w:rPr>
        <w:t>创业导师应当具有创业成功或指导创业成功经验。</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十三、培训教材</w:t>
      </w:r>
    </w:p>
    <w:p>
      <w:pPr>
        <w:ind w:firstLine="640" w:firstLineChars="200"/>
        <w:rPr>
          <w:rFonts w:hint="eastAsia" w:eastAsia="仿宋_GB2312"/>
          <w:color w:val="000000"/>
          <w:sz w:val="32"/>
          <w:szCs w:val="32"/>
        </w:rPr>
      </w:pPr>
      <w:r>
        <w:rPr>
          <w:rFonts w:hint="eastAsia" w:eastAsia="仿宋_GB2312"/>
          <w:color w:val="000000"/>
          <w:sz w:val="32"/>
          <w:szCs w:val="32"/>
        </w:rPr>
        <w:t>培训机构应按照“规范、先进、实用”的原则选择培训教材。农业农村部农民科技教育培训中心每年组织一次农民培训教材评选，提出推荐教材目录，供培训机构参考使用。</w:t>
      </w:r>
    </w:p>
    <w:p>
      <w:pPr>
        <w:adjustRightInd w:val="0"/>
        <w:spacing w:line="600" w:lineRule="exact"/>
        <w:ind w:firstLine="640" w:firstLineChars="200"/>
        <w:rPr>
          <w:rFonts w:eastAsia="黑体"/>
          <w:color w:val="000000"/>
          <w:sz w:val="32"/>
          <w:szCs w:val="32"/>
        </w:rPr>
      </w:pPr>
      <w:r>
        <w:rPr>
          <w:rFonts w:hint="eastAsia" w:eastAsia="黑体"/>
          <w:color w:val="000000"/>
          <w:sz w:val="32"/>
          <w:szCs w:val="32"/>
        </w:rPr>
        <w:t>十四、</w:t>
      </w:r>
      <w:r>
        <w:rPr>
          <w:rFonts w:eastAsia="黑体"/>
          <w:color w:val="000000"/>
          <w:sz w:val="32"/>
          <w:szCs w:val="32"/>
        </w:rPr>
        <w:t>考核评价及颁证</w:t>
      </w:r>
    </w:p>
    <w:p>
      <w:pPr>
        <w:ind w:firstLine="640" w:firstLineChars="200"/>
        <w:rPr>
          <w:rFonts w:eastAsia="仿宋_GB2312"/>
          <w:color w:val="000000"/>
          <w:sz w:val="32"/>
          <w:szCs w:val="32"/>
        </w:rPr>
      </w:pPr>
      <w:r>
        <w:rPr>
          <w:rFonts w:hint="eastAsia" w:eastAsia="仿宋_GB2312"/>
          <w:color w:val="000000"/>
          <w:sz w:val="32"/>
          <w:szCs w:val="32"/>
        </w:rPr>
        <w:t>培训机构通过过程性评价、结果性考核和实践技能考评相结合方式，综合评价学员学习成果，对合格者颁发培训证书。</w:t>
      </w:r>
    </w:p>
    <w:p>
      <w:pPr>
        <w:ind w:firstLine="643" w:firstLineChars="200"/>
        <w:rPr>
          <w:rFonts w:eastAsia="仿宋_GB2312"/>
          <w:color w:val="000000"/>
          <w:sz w:val="32"/>
          <w:szCs w:val="32"/>
        </w:rPr>
      </w:pPr>
      <w:r>
        <w:rPr>
          <w:rFonts w:hint="eastAsia" w:ascii="楷体_GB2312" w:hAnsi="楷体" w:eastAsia="楷体_GB2312"/>
          <w:b/>
          <w:sz w:val="32"/>
          <w:szCs w:val="32"/>
        </w:rPr>
        <w:t>（一）过程性评价。</w:t>
      </w:r>
      <w:r>
        <w:rPr>
          <w:rFonts w:hint="eastAsia" w:ascii="仿宋_GB2312" w:hAnsi="楷体" w:eastAsia="仿宋_GB2312"/>
          <w:bCs/>
          <w:color w:val="000000"/>
          <w:sz w:val="32"/>
          <w:szCs w:val="32"/>
        </w:rPr>
        <w:t>包括</w:t>
      </w:r>
      <w:r>
        <w:rPr>
          <w:rFonts w:hint="eastAsia" w:eastAsia="仿宋_GB2312"/>
          <w:color w:val="000000"/>
          <w:sz w:val="32"/>
          <w:szCs w:val="32"/>
        </w:rPr>
        <w:t>学习期间出勤情况、遵守纪律情况、课堂表现情况、学习任务完成情况等。</w:t>
      </w:r>
    </w:p>
    <w:p>
      <w:pPr>
        <w:ind w:firstLine="643" w:firstLineChars="200"/>
        <w:rPr>
          <w:rFonts w:eastAsia="仿宋_GB2312"/>
          <w:color w:val="000000"/>
          <w:sz w:val="32"/>
          <w:szCs w:val="32"/>
        </w:rPr>
      </w:pPr>
      <w:r>
        <w:rPr>
          <w:rFonts w:hint="eastAsia" w:ascii="楷体_GB2312" w:hAnsi="楷体" w:eastAsia="楷体_GB2312"/>
          <w:b/>
          <w:sz w:val="32"/>
          <w:szCs w:val="32"/>
        </w:rPr>
        <w:t>（二）结果性考核。</w:t>
      </w:r>
      <w:r>
        <w:rPr>
          <w:rFonts w:hint="eastAsia" w:ascii="仿宋_GB2312" w:hAnsi="楷体" w:eastAsia="仿宋_GB2312"/>
          <w:bCs/>
          <w:color w:val="000000"/>
          <w:sz w:val="32"/>
          <w:szCs w:val="32"/>
        </w:rPr>
        <w:t>对理论教学结果采取</w:t>
      </w:r>
      <w:r>
        <w:rPr>
          <w:rFonts w:hint="eastAsia" w:eastAsia="仿宋_GB2312"/>
          <w:color w:val="000000"/>
          <w:sz w:val="32"/>
          <w:szCs w:val="32"/>
        </w:rPr>
        <w:t>笔试、口试或两者相结合的方式进行考核。</w:t>
      </w:r>
    </w:p>
    <w:p>
      <w:pPr>
        <w:ind w:firstLine="643" w:firstLineChars="200"/>
        <w:rPr>
          <w:rFonts w:eastAsia="仿宋_GB2312"/>
          <w:color w:val="000000"/>
          <w:sz w:val="32"/>
          <w:szCs w:val="32"/>
        </w:rPr>
      </w:pPr>
      <w:r>
        <w:rPr>
          <w:rFonts w:hint="eastAsia" w:ascii="楷体_GB2312" w:hAnsi="楷体" w:eastAsia="楷体_GB2312"/>
          <w:b/>
          <w:sz w:val="32"/>
          <w:szCs w:val="32"/>
        </w:rPr>
        <w:t>（三）实践技能考评。</w:t>
      </w:r>
      <w:r>
        <w:rPr>
          <w:rFonts w:hint="eastAsia" w:ascii="仿宋_GB2312" w:hAnsi="楷体" w:eastAsia="仿宋_GB2312"/>
          <w:bCs/>
          <w:color w:val="000000"/>
          <w:sz w:val="32"/>
          <w:szCs w:val="32"/>
        </w:rPr>
        <w:t>对实践教学和实习实训效果</w:t>
      </w:r>
      <w:r>
        <w:rPr>
          <w:rFonts w:hint="eastAsia" w:eastAsia="仿宋_GB2312"/>
          <w:color w:val="000000"/>
          <w:sz w:val="32"/>
          <w:szCs w:val="32"/>
        </w:rPr>
        <w:t>采取技能操作、撰写实践报告等方式进行考评。</w:t>
      </w:r>
    </w:p>
    <w:p>
      <w:pPr>
        <w:ind w:firstLine="643" w:firstLineChars="200"/>
        <w:rPr>
          <w:rFonts w:eastAsia="仿宋_GB2312"/>
          <w:color w:val="000000"/>
          <w:sz w:val="32"/>
          <w:szCs w:val="32"/>
        </w:rPr>
      </w:pPr>
      <w:r>
        <w:rPr>
          <w:rFonts w:hint="eastAsia" w:ascii="楷体_GB2312" w:hAnsi="楷体" w:eastAsia="楷体_GB2312"/>
          <w:b/>
          <w:sz w:val="32"/>
          <w:szCs w:val="32"/>
        </w:rPr>
        <w:t>（四）证书颁发。</w:t>
      </w:r>
      <w:r>
        <w:rPr>
          <w:rFonts w:hint="eastAsia" w:eastAsia="仿宋_GB2312"/>
          <w:color w:val="000000"/>
          <w:sz w:val="32"/>
          <w:szCs w:val="32"/>
        </w:rPr>
        <w:t>以上3种考评均达到合格，可颁发培训证书。培训证书应反映培训班次、培训时间、培训内容（课程）、学时数等培训信息。</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十五、信息档案</w:t>
      </w:r>
    </w:p>
    <w:p>
      <w:pPr>
        <w:ind w:firstLine="643" w:firstLineChars="200"/>
        <w:rPr>
          <w:rFonts w:eastAsia="仿宋_GB2312"/>
          <w:color w:val="000000"/>
          <w:sz w:val="32"/>
          <w:szCs w:val="32"/>
        </w:rPr>
      </w:pPr>
      <w:r>
        <w:rPr>
          <w:rFonts w:hint="eastAsia" w:ascii="楷体_GB2312" w:hAnsi="楷体" w:eastAsia="楷体_GB2312"/>
          <w:b/>
          <w:sz w:val="32"/>
          <w:szCs w:val="32"/>
        </w:rPr>
        <w:t>（一）培训信息入库。</w:t>
      </w:r>
      <w:r>
        <w:rPr>
          <w:rFonts w:hint="eastAsia" w:eastAsia="仿宋_GB2312"/>
          <w:color w:val="auto"/>
          <w:sz w:val="32"/>
          <w:szCs w:val="32"/>
        </w:rPr>
        <w:t>培训机构应在培训班首次考核前将学员基础信息1</w:t>
      </w:r>
      <w:r>
        <w:rPr>
          <w:rFonts w:eastAsia="仿宋_GB2312"/>
          <w:color w:val="auto"/>
          <w:sz w:val="32"/>
          <w:szCs w:val="32"/>
        </w:rPr>
        <w:t>00%</w:t>
      </w:r>
      <w:r>
        <w:rPr>
          <w:rFonts w:hint="eastAsia" w:eastAsia="仿宋_GB2312"/>
          <w:color w:val="auto"/>
          <w:sz w:val="32"/>
          <w:szCs w:val="32"/>
        </w:rPr>
        <w:t>入库，</w:t>
      </w:r>
      <w:r>
        <w:rPr>
          <w:rFonts w:hint="eastAsia" w:eastAsia="仿宋_GB2312"/>
          <w:color w:val="000000"/>
          <w:sz w:val="32"/>
          <w:szCs w:val="32"/>
        </w:rPr>
        <w:t>并及时更新相关培训和考核信息。地方各级农业农村部门负责维护本级培训对象、机构、基地和师资数据库，在首次使用培训机构、基地和师资时将相关信息入库，并对各数据库实施动态管理。</w:t>
      </w:r>
    </w:p>
    <w:p>
      <w:pPr>
        <w:ind w:firstLine="643" w:firstLineChars="200"/>
        <w:rPr>
          <w:rFonts w:eastAsia="仿宋_GB2312"/>
          <w:color w:val="000000"/>
          <w:sz w:val="32"/>
          <w:szCs w:val="32"/>
        </w:rPr>
      </w:pPr>
      <w:r>
        <w:rPr>
          <w:rFonts w:hint="eastAsia" w:ascii="楷体_GB2312" w:hAnsi="楷体" w:eastAsia="楷体_GB2312"/>
          <w:b/>
          <w:sz w:val="32"/>
          <w:szCs w:val="32"/>
        </w:rPr>
        <w:t>（二）培训学员档案。</w:t>
      </w:r>
      <w:r>
        <w:rPr>
          <w:rFonts w:hint="eastAsia" w:eastAsia="仿宋_GB2312"/>
          <w:color w:val="000000"/>
          <w:sz w:val="32"/>
          <w:szCs w:val="32"/>
        </w:rPr>
        <w:t>培训机构应建立培育学员档案，档案中应包括培训方案、学员信息、培训记录、考核结果、证书颁发和其他相关培训信息。</w:t>
      </w:r>
    </w:p>
    <w:p>
      <w:pPr>
        <w:ind w:firstLine="643" w:firstLineChars="200"/>
        <w:rPr>
          <w:rFonts w:hint="eastAsia" w:eastAsia="仿宋_GB2312"/>
          <w:color w:val="000000"/>
          <w:sz w:val="32"/>
          <w:szCs w:val="32"/>
        </w:rPr>
      </w:pPr>
      <w:r>
        <w:rPr>
          <w:rFonts w:hint="eastAsia" w:ascii="楷体_GB2312" w:hAnsi="楷体" w:eastAsia="楷体_GB2312"/>
          <w:b/>
          <w:sz w:val="32"/>
          <w:szCs w:val="32"/>
        </w:rPr>
        <w:t>（三）统计监测。</w:t>
      </w:r>
      <w:r>
        <w:rPr>
          <w:rFonts w:hint="eastAsia" w:ascii="仿宋_GB2312" w:hAnsi="宋体" w:eastAsia="仿宋_GB2312"/>
          <w:bCs/>
          <w:kern w:val="0"/>
          <w:sz w:val="32"/>
          <w:szCs w:val="32"/>
          <w:lang w:val="zh-CN"/>
        </w:rPr>
        <w:t>利用农民教育培训信息管理系统开展高素质农民培训信息统计，实行培训过程和效果第三方监测评价。</w:t>
      </w: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十六、培训效果提升</w:t>
      </w:r>
    </w:p>
    <w:p>
      <w:pPr>
        <w:ind w:firstLine="640" w:firstLineChars="200"/>
        <w:rPr>
          <w:rFonts w:eastAsia="仿宋_GB2312"/>
          <w:color w:val="000000"/>
          <w:sz w:val="32"/>
          <w:szCs w:val="32"/>
        </w:rPr>
      </w:pPr>
      <w:r>
        <w:rPr>
          <w:rFonts w:hint="eastAsia" w:eastAsia="仿宋_GB2312"/>
          <w:color w:val="000000"/>
          <w:sz w:val="32"/>
          <w:szCs w:val="32"/>
        </w:rPr>
        <w:t>各级农业农村部门应关注学员的产业发展情况，主动提供技术指导、政策推介、交流平台、在线服务等，帮助学员获取农业产业政策支持；及时挖掘和宣传典型案例、经验做法，总结形成可学习、可借鉴、可推广的培育模式；支持参训农民组织建立学习与发展平台，促进农民合作交流、协同发展；组织开展农民教育培训优秀学员、讲师、班主任、管理者评选，做好经验交流；搭建技能大赛、创业路演等交流平台，鼓励争优，倡导学优，引领高素质农民培育体系高质量发展。</w:t>
      </w: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十七、绩效</w:t>
      </w:r>
      <w:r>
        <w:rPr>
          <w:rFonts w:ascii="黑体" w:hAnsi="黑体" w:eastAsia="黑体"/>
          <w:color w:val="000000"/>
          <w:sz w:val="32"/>
          <w:szCs w:val="32"/>
        </w:rPr>
        <w:t>管理</w:t>
      </w:r>
    </w:p>
    <w:p>
      <w:pPr>
        <w:ind w:firstLine="640" w:firstLineChars="200"/>
        <w:rPr>
          <w:rFonts w:hint="eastAsia" w:eastAsia="仿宋_GB2312"/>
          <w:color w:val="000000"/>
          <w:sz w:val="32"/>
          <w:szCs w:val="32"/>
        </w:rPr>
      </w:pPr>
      <w:r>
        <w:rPr>
          <w:rFonts w:hint="eastAsia" w:eastAsia="仿宋_GB2312"/>
          <w:color w:val="000000"/>
          <w:sz w:val="32"/>
          <w:szCs w:val="32"/>
        </w:rPr>
        <w:t>农业农村部对省级农业农村部门高素质农民培育计划开展情况实行绩效管理。在各省自查的基础上，组织对各省上一年度高素质农民培育情况和效果开展绩效评价，绩效评价结果作为调整下一年度培育任务计划的主要依据。</w:t>
      </w:r>
    </w:p>
    <w:p>
      <w:pPr>
        <w:ind w:firstLine="640" w:firstLineChars="200"/>
        <w:rPr>
          <w:rFonts w:eastAsia="仿宋_GB2312"/>
          <w:color w:val="000000"/>
          <w:sz w:val="32"/>
          <w:szCs w:val="32"/>
        </w:rPr>
      </w:pPr>
    </w:p>
    <w:p>
      <w:pPr>
        <w:adjustRightInd w:val="0"/>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附件：高素质农民培训模块要求</w:t>
      </w:r>
      <w:r>
        <w:rPr>
          <w:rFonts w:eastAsia="仿宋_GB2312"/>
          <w:color w:val="000000"/>
          <w:sz w:val="32"/>
          <w:szCs w:val="32"/>
        </w:rPr>
        <w:t xml:space="preserve"> </w:t>
      </w:r>
    </w:p>
    <w:p>
      <w:pPr>
        <w:ind w:firstLine="640" w:firstLineChars="200"/>
        <w:rPr>
          <w:rFonts w:eastAsia="仿宋_GB2312"/>
          <w:color w:val="000000"/>
          <w:sz w:val="32"/>
          <w:szCs w:val="32"/>
        </w:rPr>
        <w:sectPr>
          <w:footerReference r:id="rId3" w:type="default"/>
          <w:pgSz w:w="11906" w:h="16838"/>
          <w:pgMar w:top="1440" w:right="1797" w:bottom="1440" w:left="1797" w:header="851" w:footer="851" w:gutter="0"/>
          <w:pgNumType w:fmt="numberInDash"/>
          <w:cols w:space="720" w:num="1"/>
          <w:docGrid w:type="lines" w:linePitch="312" w:charSpace="0"/>
        </w:sectPr>
      </w:pPr>
      <w:r>
        <w:rPr>
          <w:rFonts w:hint="eastAsia" w:eastAsia="仿宋_GB2312"/>
          <w:color w:val="000000"/>
          <w:sz w:val="32"/>
          <w:szCs w:val="32"/>
        </w:rPr>
        <w:t xml:space="preserve">      </w:t>
      </w:r>
    </w:p>
    <w:p>
      <w:pPr>
        <w:rPr>
          <w:rFonts w:hint="eastAsia" w:ascii="黑体" w:hAnsi="黑体" w:eastAsia="黑体"/>
          <w:sz w:val="32"/>
          <w:szCs w:val="32"/>
        </w:rPr>
      </w:pPr>
      <w:r>
        <w:rPr>
          <w:rFonts w:hint="eastAsia" w:ascii="黑体" w:hAnsi="黑体" w:eastAsia="黑体"/>
          <w:sz w:val="32"/>
          <w:szCs w:val="32"/>
        </w:rPr>
        <w:t>附件</w:t>
      </w:r>
    </w:p>
    <w:p>
      <w:pPr>
        <w:jc w:val="center"/>
        <w:rPr>
          <w:rFonts w:hint="eastAsia" w:ascii="华文中宋" w:hAnsi="华文中宋" w:eastAsia="华文中宋"/>
          <w:sz w:val="36"/>
          <w:szCs w:val="36"/>
        </w:rPr>
      </w:pPr>
      <w:r>
        <w:rPr>
          <w:rFonts w:hint="eastAsia" w:ascii="华文中宋" w:hAnsi="华文中宋" w:eastAsia="华文中宋"/>
          <w:sz w:val="36"/>
          <w:szCs w:val="36"/>
        </w:rPr>
        <w:t>高素质农民培训模块要求</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1984"/>
        <w:gridCol w:w="1761"/>
        <w:gridCol w:w="1417"/>
        <w:gridCol w:w="1417"/>
        <w:gridCol w:w="1417"/>
        <w:gridCol w:w="1418"/>
        <w:gridCol w:w="1926"/>
        <w:gridCol w:w="1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Merge w:val="restart"/>
            <w:noWrap w:val="0"/>
            <w:vAlign w:val="center"/>
          </w:tcPr>
          <w:p>
            <w:pPr>
              <w:spacing w:line="320" w:lineRule="exact"/>
              <w:jc w:val="center"/>
              <w:rPr>
                <w:b/>
                <w:sz w:val="24"/>
              </w:rPr>
            </w:pPr>
            <w:r>
              <w:rPr>
                <w:rFonts w:hAnsi="宋体"/>
                <w:b/>
                <w:sz w:val="24"/>
              </w:rPr>
              <w:t>培训类型</w:t>
            </w:r>
          </w:p>
        </w:tc>
        <w:tc>
          <w:tcPr>
            <w:tcW w:w="1761" w:type="dxa"/>
            <w:vMerge w:val="restart"/>
            <w:noWrap w:val="0"/>
            <w:vAlign w:val="center"/>
          </w:tcPr>
          <w:p>
            <w:pPr>
              <w:spacing w:line="320" w:lineRule="exact"/>
              <w:jc w:val="center"/>
              <w:rPr>
                <w:b/>
                <w:sz w:val="24"/>
              </w:rPr>
            </w:pPr>
            <w:r>
              <w:rPr>
                <w:rFonts w:hAnsi="宋体"/>
                <w:b/>
                <w:sz w:val="24"/>
              </w:rPr>
              <w:t>培训层级</w:t>
            </w:r>
          </w:p>
        </w:tc>
        <w:tc>
          <w:tcPr>
            <w:tcW w:w="1417" w:type="dxa"/>
            <w:vMerge w:val="restart"/>
            <w:noWrap w:val="0"/>
            <w:vAlign w:val="center"/>
          </w:tcPr>
          <w:p>
            <w:pPr>
              <w:spacing w:line="320" w:lineRule="exact"/>
              <w:jc w:val="center"/>
              <w:rPr>
                <w:b/>
                <w:sz w:val="24"/>
              </w:rPr>
            </w:pPr>
            <w:r>
              <w:rPr>
                <w:rFonts w:hAnsi="宋体"/>
                <w:b/>
                <w:sz w:val="24"/>
              </w:rPr>
              <w:t>总学时</w:t>
            </w:r>
          </w:p>
        </w:tc>
        <w:tc>
          <w:tcPr>
            <w:tcW w:w="7486" w:type="dxa"/>
            <w:gridSpan w:val="5"/>
            <w:noWrap w:val="0"/>
            <w:vAlign w:val="center"/>
          </w:tcPr>
          <w:p>
            <w:pPr>
              <w:spacing w:line="320" w:lineRule="exact"/>
              <w:jc w:val="center"/>
              <w:rPr>
                <w:b/>
                <w:sz w:val="24"/>
              </w:rPr>
            </w:pPr>
            <w:r>
              <w:rPr>
                <w:rFonts w:hAnsi="宋体"/>
                <w:b/>
                <w:sz w:val="24"/>
              </w:rPr>
              <w:t>课程所占课时比例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Merge w:val="continue"/>
            <w:noWrap w:val="0"/>
            <w:vAlign w:val="center"/>
          </w:tcPr>
          <w:p>
            <w:pPr>
              <w:spacing w:line="320" w:lineRule="exact"/>
              <w:jc w:val="center"/>
              <w:rPr>
                <w:b/>
                <w:sz w:val="24"/>
              </w:rPr>
            </w:pPr>
          </w:p>
        </w:tc>
        <w:tc>
          <w:tcPr>
            <w:tcW w:w="1761" w:type="dxa"/>
            <w:vMerge w:val="continue"/>
            <w:noWrap w:val="0"/>
            <w:vAlign w:val="center"/>
          </w:tcPr>
          <w:p>
            <w:pPr>
              <w:spacing w:line="320" w:lineRule="exact"/>
              <w:jc w:val="center"/>
              <w:rPr>
                <w:b/>
                <w:sz w:val="24"/>
              </w:rPr>
            </w:pPr>
          </w:p>
        </w:tc>
        <w:tc>
          <w:tcPr>
            <w:tcW w:w="1417" w:type="dxa"/>
            <w:vMerge w:val="continue"/>
            <w:noWrap w:val="0"/>
            <w:vAlign w:val="center"/>
          </w:tcPr>
          <w:p>
            <w:pPr>
              <w:spacing w:line="320" w:lineRule="exact"/>
              <w:jc w:val="center"/>
              <w:rPr>
                <w:b/>
                <w:sz w:val="24"/>
              </w:rPr>
            </w:pPr>
          </w:p>
        </w:tc>
        <w:tc>
          <w:tcPr>
            <w:tcW w:w="1417" w:type="dxa"/>
            <w:noWrap w:val="0"/>
            <w:vAlign w:val="center"/>
          </w:tcPr>
          <w:p>
            <w:pPr>
              <w:spacing w:line="320" w:lineRule="exact"/>
              <w:jc w:val="center"/>
              <w:rPr>
                <w:b/>
                <w:sz w:val="24"/>
              </w:rPr>
            </w:pPr>
            <w:r>
              <w:rPr>
                <w:rFonts w:hAnsi="宋体"/>
                <w:b/>
                <w:sz w:val="24"/>
              </w:rPr>
              <w:t>综合素养</w:t>
            </w:r>
          </w:p>
        </w:tc>
        <w:tc>
          <w:tcPr>
            <w:tcW w:w="1417" w:type="dxa"/>
            <w:noWrap w:val="0"/>
            <w:vAlign w:val="center"/>
          </w:tcPr>
          <w:p>
            <w:pPr>
              <w:spacing w:line="320" w:lineRule="exact"/>
              <w:jc w:val="center"/>
              <w:rPr>
                <w:b/>
                <w:sz w:val="24"/>
              </w:rPr>
            </w:pPr>
            <w:r>
              <w:rPr>
                <w:rFonts w:hAnsi="宋体"/>
                <w:b/>
                <w:sz w:val="24"/>
              </w:rPr>
              <w:t>专业能力</w:t>
            </w:r>
          </w:p>
        </w:tc>
        <w:tc>
          <w:tcPr>
            <w:tcW w:w="1418" w:type="dxa"/>
            <w:noWrap w:val="0"/>
            <w:vAlign w:val="center"/>
          </w:tcPr>
          <w:p>
            <w:pPr>
              <w:spacing w:line="320" w:lineRule="exact"/>
              <w:jc w:val="center"/>
              <w:rPr>
                <w:b/>
                <w:sz w:val="24"/>
              </w:rPr>
            </w:pPr>
            <w:r>
              <w:rPr>
                <w:rFonts w:hAnsi="宋体"/>
                <w:b/>
                <w:sz w:val="24"/>
              </w:rPr>
              <w:t>能力拓展</w:t>
            </w:r>
          </w:p>
        </w:tc>
        <w:tc>
          <w:tcPr>
            <w:tcW w:w="1926" w:type="dxa"/>
            <w:noWrap w:val="0"/>
            <w:vAlign w:val="center"/>
          </w:tcPr>
          <w:p>
            <w:pPr>
              <w:spacing w:line="320" w:lineRule="exact"/>
              <w:jc w:val="center"/>
              <w:rPr>
                <w:b/>
                <w:sz w:val="24"/>
              </w:rPr>
            </w:pPr>
            <w:r>
              <w:rPr>
                <w:rFonts w:hAnsi="宋体"/>
                <w:b/>
                <w:sz w:val="24"/>
              </w:rPr>
              <w:t>实习实训</w:t>
            </w:r>
          </w:p>
        </w:tc>
        <w:tc>
          <w:tcPr>
            <w:tcW w:w="1308" w:type="dxa"/>
            <w:noWrap w:val="0"/>
            <w:vAlign w:val="center"/>
          </w:tcPr>
          <w:p>
            <w:pPr>
              <w:spacing w:line="320" w:lineRule="exact"/>
              <w:jc w:val="center"/>
              <w:rPr>
                <w:b/>
                <w:sz w:val="24"/>
              </w:rPr>
            </w:pPr>
            <w:r>
              <w:rPr>
                <w:rFonts w:hAnsi="宋体"/>
                <w:b/>
                <w:sz w:val="24"/>
              </w:rPr>
              <w:t>线上学习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noWrap w:val="0"/>
            <w:vAlign w:val="center"/>
          </w:tcPr>
          <w:p>
            <w:pPr>
              <w:spacing w:line="320" w:lineRule="exact"/>
              <w:jc w:val="center"/>
              <w:rPr>
                <w:rFonts w:eastAsia="仿宋_GB2312"/>
                <w:b/>
                <w:sz w:val="24"/>
              </w:rPr>
            </w:pPr>
            <w:r>
              <w:rPr>
                <w:rFonts w:eastAsia="仿宋_GB2312"/>
                <w:b/>
                <w:sz w:val="24"/>
              </w:rPr>
              <w:t>经营管理型</w:t>
            </w:r>
          </w:p>
        </w:tc>
        <w:tc>
          <w:tcPr>
            <w:tcW w:w="1984" w:type="dxa"/>
            <w:vMerge w:val="restart"/>
            <w:noWrap w:val="0"/>
            <w:vAlign w:val="center"/>
          </w:tcPr>
          <w:p>
            <w:pPr>
              <w:spacing w:line="320" w:lineRule="exact"/>
              <w:jc w:val="center"/>
              <w:rPr>
                <w:rFonts w:eastAsia="仿宋_GB2312"/>
                <w:sz w:val="24"/>
              </w:rPr>
            </w:pPr>
            <w:r>
              <w:rPr>
                <w:rFonts w:eastAsia="仿宋_GB2312"/>
                <w:sz w:val="24"/>
              </w:rPr>
              <w:t>家庭农场经营者</w:t>
            </w:r>
          </w:p>
        </w:tc>
        <w:tc>
          <w:tcPr>
            <w:tcW w:w="1761" w:type="dxa"/>
            <w:noWrap w:val="0"/>
            <w:vAlign w:val="center"/>
          </w:tcPr>
          <w:p>
            <w:pPr>
              <w:spacing w:line="320" w:lineRule="exact"/>
              <w:jc w:val="center"/>
              <w:rPr>
                <w:rFonts w:eastAsia="仿宋_GB2312"/>
                <w:sz w:val="24"/>
              </w:rPr>
            </w:pPr>
            <w:r>
              <w:rPr>
                <w:rFonts w:eastAsia="仿宋_GB2312"/>
                <w:sz w:val="24"/>
              </w:rPr>
              <w:t>省级</w:t>
            </w:r>
          </w:p>
        </w:tc>
        <w:tc>
          <w:tcPr>
            <w:tcW w:w="1417" w:type="dxa"/>
            <w:noWrap w:val="0"/>
            <w:vAlign w:val="center"/>
          </w:tcPr>
          <w:p>
            <w:pPr>
              <w:spacing w:line="320" w:lineRule="exact"/>
              <w:jc w:val="center"/>
              <w:rPr>
                <w:rFonts w:eastAsia="仿宋_GB2312"/>
                <w:sz w:val="24"/>
              </w:rPr>
            </w:pPr>
            <w:r>
              <w:rPr>
                <w:rFonts w:eastAsia="仿宋_GB2312"/>
                <w:sz w:val="24"/>
              </w:rPr>
              <w:t>120</w:t>
            </w:r>
            <w:r>
              <w:rPr>
                <w:rFonts w:hint="eastAsia" w:eastAsia="仿宋_GB2312"/>
                <w:sz w:val="24"/>
              </w:rPr>
              <w:t>—</w:t>
            </w:r>
            <w:r>
              <w:rPr>
                <w:rFonts w:eastAsia="仿宋_GB2312"/>
                <w:sz w:val="24"/>
              </w:rPr>
              <w:t>160</w:t>
            </w:r>
          </w:p>
        </w:tc>
        <w:tc>
          <w:tcPr>
            <w:tcW w:w="1417" w:type="dxa"/>
            <w:noWrap w:val="0"/>
            <w:vAlign w:val="center"/>
          </w:tcPr>
          <w:p>
            <w:pPr>
              <w:spacing w:line="320" w:lineRule="exact"/>
              <w:jc w:val="center"/>
              <w:rPr>
                <w:rFonts w:eastAsia="仿宋_GB2312"/>
                <w:sz w:val="24"/>
              </w:rPr>
            </w:pPr>
            <w:r>
              <w:rPr>
                <w:rFonts w:eastAsia="仿宋_GB2312"/>
                <w:sz w:val="24"/>
              </w:rPr>
              <w:t>10%</w:t>
            </w:r>
          </w:p>
        </w:tc>
        <w:tc>
          <w:tcPr>
            <w:tcW w:w="1417" w:type="dxa"/>
            <w:noWrap w:val="0"/>
            <w:vAlign w:val="center"/>
          </w:tcPr>
          <w:p>
            <w:pPr>
              <w:spacing w:line="320" w:lineRule="exact"/>
              <w:jc w:val="center"/>
              <w:rPr>
                <w:rFonts w:eastAsia="仿宋_GB2312"/>
                <w:sz w:val="24"/>
              </w:rPr>
            </w:pPr>
            <w:r>
              <w:rPr>
                <w:rFonts w:eastAsia="仿宋_GB2312"/>
                <w:sz w:val="24"/>
              </w:rPr>
              <w:t>80%</w:t>
            </w:r>
          </w:p>
        </w:tc>
        <w:tc>
          <w:tcPr>
            <w:tcW w:w="1418" w:type="dxa"/>
            <w:noWrap w:val="0"/>
            <w:vAlign w:val="center"/>
          </w:tcPr>
          <w:p>
            <w:pPr>
              <w:spacing w:line="320" w:lineRule="exact"/>
              <w:jc w:val="center"/>
              <w:rPr>
                <w:rFonts w:eastAsia="仿宋_GB2312"/>
                <w:sz w:val="24"/>
              </w:rPr>
            </w:pPr>
            <w:r>
              <w:rPr>
                <w:rFonts w:eastAsia="仿宋_GB2312"/>
                <w:sz w:val="24"/>
              </w:rPr>
              <w:t>10%</w:t>
            </w:r>
          </w:p>
        </w:tc>
        <w:tc>
          <w:tcPr>
            <w:tcW w:w="1926" w:type="dxa"/>
            <w:vMerge w:val="restart"/>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总学时的1/3</w:t>
            </w:r>
          </w:p>
        </w:tc>
        <w:tc>
          <w:tcPr>
            <w:tcW w:w="1308" w:type="dxa"/>
            <w:vMerge w:val="restart"/>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总学时的1/10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center"/>
          </w:tcPr>
          <w:p>
            <w:pPr>
              <w:spacing w:line="320" w:lineRule="exact"/>
              <w:jc w:val="center"/>
              <w:rPr>
                <w:rFonts w:eastAsia="仿宋_GB2312"/>
                <w:sz w:val="24"/>
              </w:rPr>
            </w:pPr>
          </w:p>
        </w:tc>
        <w:tc>
          <w:tcPr>
            <w:tcW w:w="1984" w:type="dxa"/>
            <w:vMerge w:val="continue"/>
            <w:noWrap w:val="0"/>
            <w:vAlign w:val="center"/>
          </w:tcPr>
          <w:p>
            <w:pPr>
              <w:spacing w:line="320" w:lineRule="exact"/>
              <w:jc w:val="center"/>
              <w:rPr>
                <w:rFonts w:eastAsia="仿宋_GB2312"/>
                <w:sz w:val="24"/>
              </w:rPr>
            </w:pPr>
          </w:p>
        </w:tc>
        <w:tc>
          <w:tcPr>
            <w:tcW w:w="1761" w:type="dxa"/>
            <w:noWrap w:val="0"/>
            <w:vAlign w:val="center"/>
          </w:tcPr>
          <w:p>
            <w:pPr>
              <w:spacing w:line="320" w:lineRule="exact"/>
              <w:jc w:val="center"/>
              <w:rPr>
                <w:rFonts w:eastAsia="仿宋_GB2312"/>
                <w:sz w:val="24"/>
              </w:rPr>
            </w:pPr>
            <w:r>
              <w:rPr>
                <w:rFonts w:eastAsia="仿宋_GB2312"/>
                <w:sz w:val="24"/>
              </w:rPr>
              <w:t>地市级</w:t>
            </w:r>
          </w:p>
        </w:tc>
        <w:tc>
          <w:tcPr>
            <w:tcW w:w="1417"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120</w:t>
            </w:r>
          </w:p>
        </w:tc>
        <w:tc>
          <w:tcPr>
            <w:tcW w:w="1417" w:type="dxa"/>
            <w:noWrap w:val="0"/>
            <w:vAlign w:val="center"/>
          </w:tcPr>
          <w:p>
            <w:pPr>
              <w:spacing w:line="320" w:lineRule="exact"/>
              <w:jc w:val="center"/>
              <w:rPr>
                <w:rFonts w:eastAsia="仿宋_GB2312"/>
                <w:sz w:val="24"/>
              </w:rPr>
            </w:pPr>
            <w:r>
              <w:rPr>
                <w:rFonts w:eastAsia="仿宋_GB2312"/>
                <w:sz w:val="24"/>
              </w:rPr>
              <w:t>10%</w:t>
            </w:r>
          </w:p>
        </w:tc>
        <w:tc>
          <w:tcPr>
            <w:tcW w:w="1417" w:type="dxa"/>
            <w:noWrap w:val="0"/>
            <w:vAlign w:val="center"/>
          </w:tcPr>
          <w:p>
            <w:pPr>
              <w:spacing w:line="320" w:lineRule="exact"/>
              <w:jc w:val="center"/>
              <w:rPr>
                <w:rFonts w:eastAsia="仿宋_GB2312"/>
                <w:sz w:val="24"/>
              </w:rPr>
            </w:pPr>
            <w:r>
              <w:rPr>
                <w:rFonts w:eastAsia="仿宋_GB2312"/>
                <w:sz w:val="24"/>
              </w:rPr>
              <w:t>80%</w:t>
            </w:r>
          </w:p>
        </w:tc>
        <w:tc>
          <w:tcPr>
            <w:tcW w:w="1418" w:type="dxa"/>
            <w:noWrap w:val="0"/>
            <w:vAlign w:val="center"/>
          </w:tcPr>
          <w:p>
            <w:pPr>
              <w:spacing w:line="320" w:lineRule="exact"/>
              <w:jc w:val="center"/>
              <w:rPr>
                <w:rFonts w:eastAsia="仿宋_GB2312"/>
                <w:sz w:val="24"/>
              </w:rPr>
            </w:pPr>
            <w:r>
              <w:rPr>
                <w:rFonts w:eastAsia="仿宋_GB2312"/>
                <w:sz w:val="24"/>
              </w:rPr>
              <w:t>10%</w:t>
            </w:r>
          </w:p>
        </w:tc>
        <w:tc>
          <w:tcPr>
            <w:tcW w:w="1926" w:type="dxa"/>
            <w:vMerge w:val="continue"/>
            <w:noWrap w:val="0"/>
            <w:vAlign w:val="center"/>
          </w:tcPr>
          <w:p>
            <w:pPr>
              <w:spacing w:line="320" w:lineRule="exact"/>
              <w:jc w:val="center"/>
              <w:rPr>
                <w:rFonts w:eastAsia="仿宋_GB2312"/>
                <w:sz w:val="24"/>
              </w:rPr>
            </w:pP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center"/>
          </w:tcPr>
          <w:p>
            <w:pPr>
              <w:spacing w:line="320" w:lineRule="exact"/>
              <w:jc w:val="center"/>
              <w:rPr>
                <w:rFonts w:eastAsia="仿宋_GB2312"/>
                <w:sz w:val="24"/>
              </w:rPr>
            </w:pPr>
          </w:p>
        </w:tc>
        <w:tc>
          <w:tcPr>
            <w:tcW w:w="1984" w:type="dxa"/>
            <w:vMerge w:val="continue"/>
            <w:noWrap w:val="0"/>
            <w:vAlign w:val="center"/>
          </w:tcPr>
          <w:p>
            <w:pPr>
              <w:spacing w:line="320" w:lineRule="exact"/>
              <w:jc w:val="center"/>
              <w:rPr>
                <w:rFonts w:eastAsia="仿宋_GB2312"/>
                <w:sz w:val="24"/>
              </w:rPr>
            </w:pPr>
          </w:p>
        </w:tc>
        <w:tc>
          <w:tcPr>
            <w:tcW w:w="1761" w:type="dxa"/>
            <w:noWrap w:val="0"/>
            <w:vAlign w:val="center"/>
          </w:tcPr>
          <w:p>
            <w:pPr>
              <w:spacing w:line="320" w:lineRule="exact"/>
              <w:jc w:val="center"/>
              <w:rPr>
                <w:rFonts w:eastAsia="仿宋_GB2312"/>
                <w:sz w:val="24"/>
              </w:rPr>
            </w:pPr>
            <w:r>
              <w:rPr>
                <w:rFonts w:eastAsia="仿宋_GB2312"/>
                <w:sz w:val="24"/>
              </w:rPr>
              <w:t>县级</w:t>
            </w:r>
          </w:p>
        </w:tc>
        <w:tc>
          <w:tcPr>
            <w:tcW w:w="1417"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120</w:t>
            </w:r>
          </w:p>
        </w:tc>
        <w:tc>
          <w:tcPr>
            <w:tcW w:w="1417" w:type="dxa"/>
            <w:noWrap w:val="0"/>
            <w:vAlign w:val="center"/>
          </w:tcPr>
          <w:p>
            <w:pPr>
              <w:spacing w:line="320" w:lineRule="exact"/>
              <w:jc w:val="center"/>
              <w:rPr>
                <w:rFonts w:eastAsia="仿宋_GB2312"/>
                <w:sz w:val="24"/>
              </w:rPr>
            </w:pPr>
            <w:r>
              <w:rPr>
                <w:rFonts w:eastAsia="仿宋_GB2312"/>
                <w:sz w:val="24"/>
              </w:rPr>
              <w:t>10%</w:t>
            </w:r>
          </w:p>
        </w:tc>
        <w:tc>
          <w:tcPr>
            <w:tcW w:w="1417" w:type="dxa"/>
            <w:noWrap w:val="0"/>
            <w:vAlign w:val="center"/>
          </w:tcPr>
          <w:p>
            <w:pPr>
              <w:spacing w:line="320" w:lineRule="exact"/>
              <w:jc w:val="center"/>
              <w:rPr>
                <w:rFonts w:eastAsia="仿宋_GB2312"/>
                <w:sz w:val="24"/>
              </w:rPr>
            </w:pPr>
            <w:r>
              <w:rPr>
                <w:rFonts w:eastAsia="仿宋_GB2312"/>
                <w:sz w:val="24"/>
              </w:rPr>
              <w:t>80%</w:t>
            </w:r>
          </w:p>
        </w:tc>
        <w:tc>
          <w:tcPr>
            <w:tcW w:w="1418" w:type="dxa"/>
            <w:noWrap w:val="0"/>
            <w:vAlign w:val="center"/>
          </w:tcPr>
          <w:p>
            <w:pPr>
              <w:spacing w:line="320" w:lineRule="exact"/>
              <w:jc w:val="center"/>
              <w:rPr>
                <w:rFonts w:eastAsia="仿宋_GB2312"/>
                <w:sz w:val="24"/>
              </w:rPr>
            </w:pPr>
            <w:r>
              <w:rPr>
                <w:rFonts w:eastAsia="仿宋_GB2312"/>
                <w:sz w:val="24"/>
              </w:rPr>
              <w:t>10%</w:t>
            </w:r>
          </w:p>
        </w:tc>
        <w:tc>
          <w:tcPr>
            <w:tcW w:w="1926" w:type="dxa"/>
            <w:vMerge w:val="continue"/>
            <w:noWrap w:val="0"/>
            <w:vAlign w:val="center"/>
          </w:tcPr>
          <w:p>
            <w:pPr>
              <w:spacing w:line="320" w:lineRule="exact"/>
              <w:jc w:val="center"/>
              <w:rPr>
                <w:rFonts w:eastAsia="仿宋_GB2312"/>
                <w:sz w:val="24"/>
              </w:rPr>
            </w:pP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center"/>
          </w:tcPr>
          <w:p>
            <w:pPr>
              <w:spacing w:line="320" w:lineRule="exact"/>
              <w:jc w:val="center"/>
              <w:rPr>
                <w:rFonts w:eastAsia="仿宋_GB2312"/>
                <w:sz w:val="24"/>
              </w:rPr>
            </w:pPr>
          </w:p>
        </w:tc>
        <w:tc>
          <w:tcPr>
            <w:tcW w:w="1984" w:type="dxa"/>
            <w:vMerge w:val="restart"/>
            <w:noWrap w:val="0"/>
            <w:vAlign w:val="center"/>
          </w:tcPr>
          <w:p>
            <w:pPr>
              <w:spacing w:line="320" w:lineRule="exact"/>
              <w:jc w:val="center"/>
              <w:rPr>
                <w:rFonts w:eastAsia="仿宋_GB2312"/>
                <w:sz w:val="24"/>
              </w:rPr>
            </w:pPr>
            <w:r>
              <w:rPr>
                <w:rFonts w:eastAsia="仿宋_GB2312"/>
                <w:sz w:val="24"/>
              </w:rPr>
              <w:t>农民合作社理事长及骨干、农业企业负责人及单位骨干</w:t>
            </w:r>
          </w:p>
        </w:tc>
        <w:tc>
          <w:tcPr>
            <w:tcW w:w="1761" w:type="dxa"/>
            <w:noWrap w:val="0"/>
            <w:vAlign w:val="center"/>
          </w:tcPr>
          <w:p>
            <w:pPr>
              <w:spacing w:line="320" w:lineRule="exact"/>
              <w:jc w:val="center"/>
              <w:rPr>
                <w:rFonts w:eastAsia="仿宋_GB2312"/>
                <w:sz w:val="24"/>
              </w:rPr>
            </w:pPr>
            <w:r>
              <w:rPr>
                <w:rFonts w:eastAsia="仿宋_GB2312"/>
                <w:sz w:val="24"/>
              </w:rPr>
              <w:t>省级</w:t>
            </w:r>
          </w:p>
          <w:p>
            <w:pPr>
              <w:spacing w:line="320" w:lineRule="exact"/>
              <w:jc w:val="center"/>
              <w:rPr>
                <w:rFonts w:eastAsia="仿宋_GB2312"/>
                <w:sz w:val="24"/>
              </w:rPr>
            </w:pPr>
            <w:r>
              <w:rPr>
                <w:rFonts w:eastAsia="仿宋_GB2312"/>
                <w:sz w:val="24"/>
              </w:rPr>
              <w:t>（含农业</w:t>
            </w:r>
            <w:r>
              <w:rPr>
                <w:rFonts w:hint="eastAsia" w:eastAsia="仿宋_GB2312"/>
                <w:sz w:val="24"/>
              </w:rPr>
              <w:t>产业</w:t>
            </w:r>
            <w:r>
              <w:rPr>
                <w:rFonts w:eastAsia="仿宋_GB2312"/>
                <w:sz w:val="24"/>
              </w:rPr>
              <w:t>领军人才）</w:t>
            </w:r>
          </w:p>
        </w:tc>
        <w:tc>
          <w:tcPr>
            <w:tcW w:w="1417" w:type="dxa"/>
            <w:noWrap w:val="0"/>
            <w:vAlign w:val="center"/>
          </w:tcPr>
          <w:p>
            <w:pPr>
              <w:spacing w:line="320" w:lineRule="exact"/>
              <w:jc w:val="center"/>
              <w:rPr>
                <w:rFonts w:eastAsia="仿宋_GB2312"/>
                <w:sz w:val="24"/>
              </w:rPr>
            </w:pPr>
            <w:r>
              <w:rPr>
                <w:rFonts w:eastAsia="仿宋_GB2312"/>
                <w:sz w:val="24"/>
              </w:rPr>
              <w:t>120</w:t>
            </w:r>
            <w:r>
              <w:rPr>
                <w:rFonts w:hint="eastAsia" w:eastAsia="仿宋_GB2312"/>
                <w:sz w:val="24"/>
              </w:rPr>
              <w:t>—</w:t>
            </w:r>
            <w:r>
              <w:rPr>
                <w:rFonts w:eastAsia="仿宋_GB2312"/>
                <w:sz w:val="24"/>
              </w:rPr>
              <w:t>240</w:t>
            </w:r>
          </w:p>
        </w:tc>
        <w:tc>
          <w:tcPr>
            <w:tcW w:w="1417" w:type="dxa"/>
            <w:noWrap w:val="0"/>
            <w:vAlign w:val="center"/>
          </w:tcPr>
          <w:p>
            <w:pPr>
              <w:spacing w:line="320" w:lineRule="exact"/>
              <w:jc w:val="center"/>
              <w:rPr>
                <w:rFonts w:eastAsia="仿宋_GB2312"/>
                <w:sz w:val="24"/>
              </w:rPr>
            </w:pPr>
            <w:r>
              <w:rPr>
                <w:rFonts w:eastAsia="仿宋_GB2312"/>
                <w:sz w:val="24"/>
              </w:rPr>
              <w:t>20%</w:t>
            </w:r>
          </w:p>
        </w:tc>
        <w:tc>
          <w:tcPr>
            <w:tcW w:w="1417" w:type="dxa"/>
            <w:noWrap w:val="0"/>
            <w:vAlign w:val="center"/>
          </w:tcPr>
          <w:p>
            <w:pPr>
              <w:spacing w:line="320" w:lineRule="exact"/>
              <w:jc w:val="center"/>
              <w:rPr>
                <w:rFonts w:eastAsia="仿宋_GB2312"/>
                <w:sz w:val="24"/>
              </w:rPr>
            </w:pPr>
            <w:r>
              <w:rPr>
                <w:rFonts w:eastAsia="仿宋_GB2312"/>
                <w:sz w:val="24"/>
              </w:rPr>
              <w:t>60%</w:t>
            </w:r>
          </w:p>
        </w:tc>
        <w:tc>
          <w:tcPr>
            <w:tcW w:w="1418" w:type="dxa"/>
            <w:noWrap w:val="0"/>
            <w:vAlign w:val="center"/>
          </w:tcPr>
          <w:p>
            <w:pPr>
              <w:spacing w:line="320" w:lineRule="exact"/>
              <w:jc w:val="center"/>
              <w:rPr>
                <w:rFonts w:eastAsia="仿宋_GB2312"/>
                <w:sz w:val="24"/>
              </w:rPr>
            </w:pPr>
            <w:r>
              <w:rPr>
                <w:rFonts w:eastAsia="仿宋_GB2312"/>
                <w:sz w:val="24"/>
              </w:rPr>
              <w:t>20%</w:t>
            </w:r>
          </w:p>
        </w:tc>
        <w:tc>
          <w:tcPr>
            <w:tcW w:w="1926" w:type="dxa"/>
            <w:vMerge w:val="restart"/>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总学时的1/5</w:t>
            </w: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center"/>
          </w:tcPr>
          <w:p>
            <w:pPr>
              <w:spacing w:line="320" w:lineRule="exact"/>
              <w:jc w:val="center"/>
              <w:rPr>
                <w:rFonts w:eastAsia="仿宋_GB2312"/>
                <w:sz w:val="24"/>
              </w:rPr>
            </w:pPr>
          </w:p>
        </w:tc>
        <w:tc>
          <w:tcPr>
            <w:tcW w:w="1984" w:type="dxa"/>
            <w:vMerge w:val="continue"/>
            <w:noWrap w:val="0"/>
            <w:vAlign w:val="center"/>
          </w:tcPr>
          <w:p>
            <w:pPr>
              <w:spacing w:line="320" w:lineRule="exact"/>
              <w:jc w:val="center"/>
              <w:rPr>
                <w:rFonts w:eastAsia="仿宋_GB2312"/>
                <w:sz w:val="24"/>
              </w:rPr>
            </w:pPr>
          </w:p>
        </w:tc>
        <w:tc>
          <w:tcPr>
            <w:tcW w:w="1761" w:type="dxa"/>
            <w:noWrap w:val="0"/>
            <w:vAlign w:val="center"/>
          </w:tcPr>
          <w:p>
            <w:pPr>
              <w:spacing w:line="320" w:lineRule="exact"/>
              <w:jc w:val="center"/>
              <w:rPr>
                <w:rFonts w:eastAsia="仿宋_GB2312"/>
                <w:sz w:val="24"/>
              </w:rPr>
            </w:pPr>
            <w:r>
              <w:rPr>
                <w:rFonts w:eastAsia="仿宋_GB2312"/>
                <w:sz w:val="24"/>
              </w:rPr>
              <w:t>地市级</w:t>
            </w:r>
          </w:p>
        </w:tc>
        <w:tc>
          <w:tcPr>
            <w:tcW w:w="1417"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120</w:t>
            </w:r>
          </w:p>
        </w:tc>
        <w:tc>
          <w:tcPr>
            <w:tcW w:w="1417" w:type="dxa"/>
            <w:noWrap w:val="0"/>
            <w:vAlign w:val="center"/>
          </w:tcPr>
          <w:p>
            <w:pPr>
              <w:spacing w:line="320" w:lineRule="exact"/>
              <w:jc w:val="center"/>
              <w:rPr>
                <w:rFonts w:eastAsia="仿宋_GB2312"/>
                <w:sz w:val="24"/>
              </w:rPr>
            </w:pPr>
            <w:r>
              <w:rPr>
                <w:rFonts w:eastAsia="仿宋_GB2312"/>
                <w:sz w:val="24"/>
              </w:rPr>
              <w:t>20%</w:t>
            </w:r>
          </w:p>
        </w:tc>
        <w:tc>
          <w:tcPr>
            <w:tcW w:w="1417" w:type="dxa"/>
            <w:noWrap w:val="0"/>
            <w:vAlign w:val="center"/>
          </w:tcPr>
          <w:p>
            <w:pPr>
              <w:spacing w:line="320" w:lineRule="exact"/>
              <w:jc w:val="center"/>
              <w:rPr>
                <w:rFonts w:eastAsia="仿宋_GB2312"/>
                <w:sz w:val="24"/>
              </w:rPr>
            </w:pPr>
            <w:r>
              <w:rPr>
                <w:rFonts w:eastAsia="仿宋_GB2312"/>
                <w:sz w:val="24"/>
              </w:rPr>
              <w:t>60%</w:t>
            </w:r>
          </w:p>
        </w:tc>
        <w:tc>
          <w:tcPr>
            <w:tcW w:w="1418" w:type="dxa"/>
            <w:noWrap w:val="0"/>
            <w:vAlign w:val="center"/>
          </w:tcPr>
          <w:p>
            <w:pPr>
              <w:spacing w:line="320" w:lineRule="exact"/>
              <w:jc w:val="center"/>
              <w:rPr>
                <w:rFonts w:eastAsia="仿宋_GB2312"/>
                <w:sz w:val="24"/>
              </w:rPr>
            </w:pPr>
            <w:r>
              <w:rPr>
                <w:rFonts w:eastAsia="仿宋_GB2312"/>
                <w:sz w:val="24"/>
              </w:rPr>
              <w:t>20%</w:t>
            </w:r>
          </w:p>
        </w:tc>
        <w:tc>
          <w:tcPr>
            <w:tcW w:w="1926" w:type="dxa"/>
            <w:vMerge w:val="continue"/>
            <w:noWrap w:val="0"/>
            <w:vAlign w:val="center"/>
          </w:tcPr>
          <w:p>
            <w:pPr>
              <w:spacing w:line="320" w:lineRule="exact"/>
              <w:jc w:val="center"/>
              <w:rPr>
                <w:rFonts w:eastAsia="仿宋_GB2312"/>
                <w:sz w:val="24"/>
              </w:rPr>
            </w:pP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center"/>
          </w:tcPr>
          <w:p>
            <w:pPr>
              <w:spacing w:line="320" w:lineRule="exact"/>
              <w:jc w:val="center"/>
              <w:rPr>
                <w:rFonts w:eastAsia="仿宋_GB2312"/>
                <w:sz w:val="24"/>
              </w:rPr>
            </w:pPr>
          </w:p>
        </w:tc>
        <w:tc>
          <w:tcPr>
            <w:tcW w:w="1984" w:type="dxa"/>
            <w:vMerge w:val="continue"/>
            <w:noWrap w:val="0"/>
            <w:vAlign w:val="center"/>
          </w:tcPr>
          <w:p>
            <w:pPr>
              <w:spacing w:line="320" w:lineRule="exact"/>
              <w:jc w:val="center"/>
              <w:rPr>
                <w:rFonts w:eastAsia="仿宋_GB2312"/>
                <w:sz w:val="24"/>
              </w:rPr>
            </w:pPr>
          </w:p>
        </w:tc>
        <w:tc>
          <w:tcPr>
            <w:tcW w:w="1761" w:type="dxa"/>
            <w:noWrap w:val="0"/>
            <w:vAlign w:val="center"/>
          </w:tcPr>
          <w:p>
            <w:pPr>
              <w:spacing w:line="320" w:lineRule="exact"/>
              <w:jc w:val="center"/>
              <w:rPr>
                <w:rFonts w:eastAsia="仿宋_GB2312"/>
                <w:sz w:val="24"/>
              </w:rPr>
            </w:pPr>
            <w:r>
              <w:rPr>
                <w:rFonts w:eastAsia="仿宋_GB2312"/>
                <w:sz w:val="24"/>
              </w:rPr>
              <w:t>县级</w:t>
            </w:r>
          </w:p>
        </w:tc>
        <w:tc>
          <w:tcPr>
            <w:tcW w:w="1417"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120</w:t>
            </w:r>
          </w:p>
        </w:tc>
        <w:tc>
          <w:tcPr>
            <w:tcW w:w="1417" w:type="dxa"/>
            <w:noWrap w:val="0"/>
            <w:vAlign w:val="center"/>
          </w:tcPr>
          <w:p>
            <w:pPr>
              <w:spacing w:line="320" w:lineRule="exact"/>
              <w:jc w:val="center"/>
              <w:rPr>
                <w:rFonts w:eastAsia="仿宋_GB2312"/>
                <w:sz w:val="24"/>
              </w:rPr>
            </w:pPr>
            <w:r>
              <w:rPr>
                <w:rFonts w:eastAsia="仿宋_GB2312"/>
                <w:sz w:val="24"/>
              </w:rPr>
              <w:t>20%</w:t>
            </w:r>
          </w:p>
        </w:tc>
        <w:tc>
          <w:tcPr>
            <w:tcW w:w="1417" w:type="dxa"/>
            <w:noWrap w:val="0"/>
            <w:vAlign w:val="center"/>
          </w:tcPr>
          <w:p>
            <w:pPr>
              <w:spacing w:line="320" w:lineRule="exact"/>
              <w:jc w:val="center"/>
              <w:rPr>
                <w:rFonts w:eastAsia="仿宋_GB2312"/>
                <w:sz w:val="24"/>
              </w:rPr>
            </w:pPr>
            <w:r>
              <w:rPr>
                <w:rFonts w:eastAsia="仿宋_GB2312"/>
                <w:sz w:val="24"/>
              </w:rPr>
              <w:t>60%</w:t>
            </w:r>
          </w:p>
        </w:tc>
        <w:tc>
          <w:tcPr>
            <w:tcW w:w="1418" w:type="dxa"/>
            <w:noWrap w:val="0"/>
            <w:vAlign w:val="center"/>
          </w:tcPr>
          <w:p>
            <w:pPr>
              <w:spacing w:line="320" w:lineRule="exact"/>
              <w:jc w:val="center"/>
              <w:rPr>
                <w:rFonts w:eastAsia="仿宋_GB2312"/>
                <w:sz w:val="24"/>
              </w:rPr>
            </w:pPr>
            <w:r>
              <w:rPr>
                <w:rFonts w:eastAsia="仿宋_GB2312"/>
                <w:sz w:val="24"/>
              </w:rPr>
              <w:t>20%</w:t>
            </w:r>
          </w:p>
        </w:tc>
        <w:tc>
          <w:tcPr>
            <w:tcW w:w="1926" w:type="dxa"/>
            <w:vMerge w:val="continue"/>
            <w:noWrap w:val="0"/>
            <w:vAlign w:val="center"/>
          </w:tcPr>
          <w:p>
            <w:pPr>
              <w:spacing w:line="320" w:lineRule="exact"/>
              <w:jc w:val="center"/>
              <w:rPr>
                <w:rFonts w:eastAsia="仿宋_GB2312"/>
                <w:sz w:val="24"/>
              </w:rPr>
            </w:pP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center"/>
          </w:tcPr>
          <w:p>
            <w:pPr>
              <w:spacing w:line="320" w:lineRule="exact"/>
              <w:jc w:val="center"/>
              <w:rPr>
                <w:rFonts w:eastAsia="仿宋_GB2312"/>
                <w:sz w:val="24"/>
              </w:rPr>
            </w:pPr>
          </w:p>
        </w:tc>
        <w:tc>
          <w:tcPr>
            <w:tcW w:w="1984" w:type="dxa"/>
            <w:vMerge w:val="restart"/>
            <w:noWrap w:val="0"/>
            <w:vAlign w:val="center"/>
          </w:tcPr>
          <w:p>
            <w:pPr>
              <w:spacing w:line="320" w:lineRule="exact"/>
              <w:jc w:val="center"/>
              <w:rPr>
                <w:rFonts w:eastAsia="仿宋_GB2312"/>
                <w:sz w:val="24"/>
              </w:rPr>
            </w:pPr>
            <w:r>
              <w:rPr>
                <w:rFonts w:eastAsia="仿宋_GB2312"/>
                <w:sz w:val="24"/>
              </w:rPr>
              <w:t>返乡</w:t>
            </w:r>
            <w:r>
              <w:rPr>
                <w:rFonts w:hint="eastAsia" w:eastAsia="仿宋_GB2312"/>
                <w:sz w:val="24"/>
              </w:rPr>
              <w:t>入乡创新</w:t>
            </w:r>
            <w:r>
              <w:rPr>
                <w:rFonts w:eastAsia="仿宋_GB2312"/>
                <w:sz w:val="24"/>
              </w:rPr>
              <w:t>创业者</w:t>
            </w:r>
          </w:p>
        </w:tc>
        <w:tc>
          <w:tcPr>
            <w:tcW w:w="1761" w:type="dxa"/>
            <w:noWrap w:val="0"/>
            <w:vAlign w:val="center"/>
          </w:tcPr>
          <w:p>
            <w:pPr>
              <w:spacing w:line="320" w:lineRule="exact"/>
              <w:jc w:val="center"/>
              <w:rPr>
                <w:rFonts w:eastAsia="仿宋_GB2312"/>
                <w:sz w:val="24"/>
              </w:rPr>
            </w:pPr>
            <w:r>
              <w:rPr>
                <w:rFonts w:eastAsia="仿宋_GB2312"/>
                <w:sz w:val="24"/>
              </w:rPr>
              <w:t>地市级</w:t>
            </w:r>
          </w:p>
        </w:tc>
        <w:tc>
          <w:tcPr>
            <w:tcW w:w="1417"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120</w:t>
            </w:r>
          </w:p>
        </w:tc>
        <w:tc>
          <w:tcPr>
            <w:tcW w:w="1417" w:type="dxa"/>
            <w:noWrap w:val="0"/>
            <w:vAlign w:val="center"/>
          </w:tcPr>
          <w:p>
            <w:pPr>
              <w:spacing w:line="320" w:lineRule="exact"/>
              <w:jc w:val="center"/>
              <w:rPr>
                <w:rFonts w:eastAsia="仿宋_GB2312"/>
                <w:sz w:val="24"/>
              </w:rPr>
            </w:pPr>
            <w:r>
              <w:rPr>
                <w:rFonts w:eastAsia="仿宋_GB2312"/>
                <w:sz w:val="24"/>
              </w:rPr>
              <w:t>20%</w:t>
            </w:r>
          </w:p>
        </w:tc>
        <w:tc>
          <w:tcPr>
            <w:tcW w:w="1417" w:type="dxa"/>
            <w:noWrap w:val="0"/>
            <w:vAlign w:val="center"/>
          </w:tcPr>
          <w:p>
            <w:pPr>
              <w:spacing w:line="320" w:lineRule="exact"/>
              <w:jc w:val="center"/>
              <w:rPr>
                <w:rFonts w:eastAsia="仿宋_GB2312"/>
                <w:sz w:val="24"/>
              </w:rPr>
            </w:pPr>
            <w:r>
              <w:rPr>
                <w:rFonts w:eastAsia="仿宋_GB2312"/>
                <w:sz w:val="24"/>
              </w:rPr>
              <w:t>60%</w:t>
            </w:r>
          </w:p>
        </w:tc>
        <w:tc>
          <w:tcPr>
            <w:tcW w:w="1418" w:type="dxa"/>
            <w:noWrap w:val="0"/>
            <w:vAlign w:val="center"/>
          </w:tcPr>
          <w:p>
            <w:pPr>
              <w:spacing w:line="320" w:lineRule="exact"/>
              <w:jc w:val="center"/>
              <w:rPr>
                <w:rFonts w:eastAsia="仿宋_GB2312"/>
                <w:sz w:val="24"/>
              </w:rPr>
            </w:pPr>
            <w:r>
              <w:rPr>
                <w:rFonts w:eastAsia="仿宋_GB2312"/>
                <w:sz w:val="24"/>
              </w:rPr>
              <w:t>20%</w:t>
            </w:r>
          </w:p>
        </w:tc>
        <w:tc>
          <w:tcPr>
            <w:tcW w:w="1926" w:type="dxa"/>
            <w:vMerge w:val="restart"/>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总学时的1/3</w:t>
            </w: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center"/>
          </w:tcPr>
          <w:p>
            <w:pPr>
              <w:spacing w:line="320" w:lineRule="exact"/>
              <w:jc w:val="center"/>
              <w:rPr>
                <w:rFonts w:eastAsia="仿宋_GB2312"/>
                <w:sz w:val="24"/>
              </w:rPr>
            </w:pPr>
          </w:p>
        </w:tc>
        <w:tc>
          <w:tcPr>
            <w:tcW w:w="1984" w:type="dxa"/>
            <w:vMerge w:val="continue"/>
            <w:noWrap w:val="0"/>
            <w:vAlign w:val="center"/>
          </w:tcPr>
          <w:p>
            <w:pPr>
              <w:spacing w:line="320" w:lineRule="exact"/>
              <w:jc w:val="center"/>
              <w:rPr>
                <w:rFonts w:eastAsia="仿宋_GB2312"/>
                <w:sz w:val="24"/>
              </w:rPr>
            </w:pPr>
          </w:p>
        </w:tc>
        <w:tc>
          <w:tcPr>
            <w:tcW w:w="1761" w:type="dxa"/>
            <w:noWrap w:val="0"/>
            <w:vAlign w:val="center"/>
          </w:tcPr>
          <w:p>
            <w:pPr>
              <w:spacing w:line="320" w:lineRule="exact"/>
              <w:jc w:val="center"/>
              <w:rPr>
                <w:rFonts w:eastAsia="仿宋_GB2312"/>
                <w:sz w:val="24"/>
              </w:rPr>
            </w:pPr>
            <w:r>
              <w:rPr>
                <w:rFonts w:eastAsia="仿宋_GB2312"/>
                <w:sz w:val="24"/>
              </w:rPr>
              <w:t>县级</w:t>
            </w:r>
          </w:p>
        </w:tc>
        <w:tc>
          <w:tcPr>
            <w:tcW w:w="1417"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120</w:t>
            </w:r>
          </w:p>
        </w:tc>
        <w:tc>
          <w:tcPr>
            <w:tcW w:w="1417" w:type="dxa"/>
            <w:noWrap w:val="0"/>
            <w:vAlign w:val="center"/>
          </w:tcPr>
          <w:p>
            <w:pPr>
              <w:spacing w:line="320" w:lineRule="exact"/>
              <w:jc w:val="center"/>
              <w:rPr>
                <w:rFonts w:eastAsia="仿宋_GB2312"/>
                <w:sz w:val="24"/>
              </w:rPr>
            </w:pPr>
            <w:r>
              <w:rPr>
                <w:rFonts w:eastAsia="仿宋_GB2312"/>
                <w:sz w:val="24"/>
              </w:rPr>
              <w:t>20%</w:t>
            </w:r>
          </w:p>
        </w:tc>
        <w:tc>
          <w:tcPr>
            <w:tcW w:w="1417" w:type="dxa"/>
            <w:noWrap w:val="0"/>
            <w:vAlign w:val="center"/>
          </w:tcPr>
          <w:p>
            <w:pPr>
              <w:spacing w:line="320" w:lineRule="exact"/>
              <w:jc w:val="center"/>
              <w:rPr>
                <w:rFonts w:eastAsia="仿宋_GB2312"/>
                <w:sz w:val="24"/>
              </w:rPr>
            </w:pPr>
            <w:r>
              <w:rPr>
                <w:rFonts w:eastAsia="仿宋_GB2312"/>
                <w:sz w:val="24"/>
              </w:rPr>
              <w:t>60%</w:t>
            </w:r>
          </w:p>
        </w:tc>
        <w:tc>
          <w:tcPr>
            <w:tcW w:w="1418" w:type="dxa"/>
            <w:noWrap w:val="0"/>
            <w:vAlign w:val="center"/>
          </w:tcPr>
          <w:p>
            <w:pPr>
              <w:spacing w:line="320" w:lineRule="exact"/>
              <w:jc w:val="center"/>
              <w:rPr>
                <w:rFonts w:eastAsia="仿宋_GB2312"/>
                <w:sz w:val="24"/>
              </w:rPr>
            </w:pPr>
            <w:r>
              <w:rPr>
                <w:rFonts w:eastAsia="仿宋_GB2312"/>
                <w:sz w:val="24"/>
              </w:rPr>
              <w:t>20%</w:t>
            </w:r>
          </w:p>
        </w:tc>
        <w:tc>
          <w:tcPr>
            <w:tcW w:w="1926" w:type="dxa"/>
            <w:vMerge w:val="continue"/>
            <w:noWrap w:val="0"/>
            <w:vAlign w:val="center"/>
          </w:tcPr>
          <w:p>
            <w:pPr>
              <w:spacing w:line="320" w:lineRule="exact"/>
              <w:jc w:val="center"/>
              <w:rPr>
                <w:rFonts w:eastAsia="仿宋_GB2312"/>
                <w:sz w:val="24"/>
              </w:rPr>
            </w:pP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center"/>
          </w:tcPr>
          <w:p>
            <w:pPr>
              <w:spacing w:line="320" w:lineRule="exact"/>
              <w:jc w:val="center"/>
              <w:rPr>
                <w:rFonts w:eastAsia="仿宋_GB2312"/>
                <w:sz w:val="24"/>
              </w:rPr>
            </w:pPr>
          </w:p>
        </w:tc>
        <w:tc>
          <w:tcPr>
            <w:tcW w:w="1984" w:type="dxa"/>
            <w:noWrap w:val="0"/>
            <w:vAlign w:val="center"/>
          </w:tcPr>
          <w:p>
            <w:pPr>
              <w:spacing w:line="320" w:lineRule="exact"/>
              <w:jc w:val="center"/>
              <w:rPr>
                <w:rFonts w:eastAsia="仿宋_GB2312"/>
                <w:sz w:val="24"/>
              </w:rPr>
            </w:pPr>
            <w:r>
              <w:rPr>
                <w:rFonts w:eastAsia="仿宋_GB2312"/>
                <w:sz w:val="24"/>
              </w:rPr>
              <w:t>农业经理人</w:t>
            </w:r>
          </w:p>
        </w:tc>
        <w:tc>
          <w:tcPr>
            <w:tcW w:w="1761" w:type="dxa"/>
            <w:noWrap w:val="0"/>
            <w:vAlign w:val="center"/>
          </w:tcPr>
          <w:p>
            <w:pPr>
              <w:spacing w:line="320" w:lineRule="exact"/>
              <w:jc w:val="center"/>
              <w:rPr>
                <w:rFonts w:eastAsia="仿宋_GB2312"/>
                <w:sz w:val="24"/>
              </w:rPr>
            </w:pPr>
            <w:r>
              <w:rPr>
                <w:rFonts w:eastAsia="仿宋_GB2312"/>
                <w:sz w:val="24"/>
              </w:rPr>
              <w:t>省级</w:t>
            </w:r>
          </w:p>
        </w:tc>
        <w:tc>
          <w:tcPr>
            <w:tcW w:w="1417"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160</w:t>
            </w:r>
          </w:p>
        </w:tc>
        <w:tc>
          <w:tcPr>
            <w:tcW w:w="1417" w:type="dxa"/>
            <w:noWrap w:val="0"/>
            <w:vAlign w:val="center"/>
          </w:tcPr>
          <w:p>
            <w:pPr>
              <w:spacing w:line="320" w:lineRule="exact"/>
              <w:jc w:val="center"/>
              <w:rPr>
                <w:rFonts w:eastAsia="仿宋_GB2312"/>
                <w:sz w:val="24"/>
              </w:rPr>
            </w:pPr>
            <w:r>
              <w:rPr>
                <w:rFonts w:eastAsia="仿宋_GB2312"/>
                <w:sz w:val="24"/>
              </w:rPr>
              <w:t>20%</w:t>
            </w:r>
          </w:p>
        </w:tc>
        <w:tc>
          <w:tcPr>
            <w:tcW w:w="1417" w:type="dxa"/>
            <w:noWrap w:val="0"/>
            <w:vAlign w:val="center"/>
          </w:tcPr>
          <w:p>
            <w:pPr>
              <w:spacing w:line="320" w:lineRule="exact"/>
              <w:jc w:val="center"/>
              <w:rPr>
                <w:rFonts w:eastAsia="仿宋_GB2312"/>
                <w:sz w:val="24"/>
              </w:rPr>
            </w:pPr>
            <w:r>
              <w:rPr>
                <w:rFonts w:eastAsia="仿宋_GB2312"/>
                <w:sz w:val="24"/>
              </w:rPr>
              <w:t>60%</w:t>
            </w:r>
          </w:p>
        </w:tc>
        <w:tc>
          <w:tcPr>
            <w:tcW w:w="1418" w:type="dxa"/>
            <w:noWrap w:val="0"/>
            <w:vAlign w:val="center"/>
          </w:tcPr>
          <w:p>
            <w:pPr>
              <w:spacing w:line="320" w:lineRule="exact"/>
              <w:jc w:val="center"/>
              <w:rPr>
                <w:rFonts w:eastAsia="仿宋_GB2312"/>
                <w:sz w:val="24"/>
              </w:rPr>
            </w:pPr>
            <w:r>
              <w:rPr>
                <w:rFonts w:eastAsia="仿宋_GB2312"/>
                <w:sz w:val="24"/>
              </w:rPr>
              <w:t>20%</w:t>
            </w:r>
          </w:p>
        </w:tc>
        <w:tc>
          <w:tcPr>
            <w:tcW w:w="1926"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总学时的1/8</w:t>
            </w: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Merge w:val="restart"/>
            <w:noWrap w:val="0"/>
            <w:vAlign w:val="center"/>
          </w:tcPr>
          <w:p>
            <w:pPr>
              <w:spacing w:line="320" w:lineRule="exact"/>
              <w:jc w:val="center"/>
              <w:rPr>
                <w:rFonts w:eastAsia="仿宋_GB2312"/>
                <w:b/>
                <w:sz w:val="24"/>
              </w:rPr>
            </w:pPr>
            <w:r>
              <w:rPr>
                <w:rFonts w:eastAsia="仿宋_GB2312"/>
                <w:b/>
                <w:sz w:val="24"/>
              </w:rPr>
              <w:t>专业生产型</w:t>
            </w:r>
          </w:p>
        </w:tc>
        <w:tc>
          <w:tcPr>
            <w:tcW w:w="1761" w:type="dxa"/>
            <w:noWrap w:val="0"/>
            <w:vAlign w:val="center"/>
          </w:tcPr>
          <w:p>
            <w:pPr>
              <w:spacing w:line="320" w:lineRule="exact"/>
              <w:jc w:val="center"/>
              <w:rPr>
                <w:rFonts w:eastAsia="仿宋_GB2312"/>
                <w:sz w:val="24"/>
              </w:rPr>
            </w:pPr>
            <w:r>
              <w:rPr>
                <w:rFonts w:eastAsia="仿宋_GB2312"/>
                <w:sz w:val="24"/>
              </w:rPr>
              <w:t>地市级</w:t>
            </w:r>
          </w:p>
        </w:tc>
        <w:tc>
          <w:tcPr>
            <w:tcW w:w="1417" w:type="dxa"/>
            <w:noWrap w:val="0"/>
            <w:vAlign w:val="center"/>
          </w:tcPr>
          <w:p>
            <w:pPr>
              <w:spacing w:line="320" w:lineRule="exact"/>
              <w:jc w:val="center"/>
              <w:rPr>
                <w:rFonts w:eastAsia="仿宋_GB2312"/>
                <w:sz w:val="24"/>
              </w:rPr>
            </w:pPr>
            <w:r>
              <w:rPr>
                <w:rFonts w:eastAsia="仿宋_GB2312"/>
                <w:sz w:val="24"/>
              </w:rPr>
              <w:t>56</w:t>
            </w:r>
            <w:r>
              <w:rPr>
                <w:rFonts w:hint="eastAsia" w:eastAsia="仿宋_GB2312"/>
                <w:sz w:val="24"/>
              </w:rPr>
              <w:t>—</w:t>
            </w:r>
            <w:r>
              <w:rPr>
                <w:rFonts w:eastAsia="仿宋_GB2312"/>
                <w:sz w:val="24"/>
              </w:rPr>
              <w:t>80</w:t>
            </w:r>
          </w:p>
        </w:tc>
        <w:tc>
          <w:tcPr>
            <w:tcW w:w="1417" w:type="dxa"/>
            <w:noWrap w:val="0"/>
            <w:vAlign w:val="center"/>
          </w:tcPr>
          <w:p>
            <w:pPr>
              <w:spacing w:line="320" w:lineRule="exact"/>
              <w:jc w:val="center"/>
              <w:rPr>
                <w:rFonts w:eastAsia="仿宋_GB2312"/>
                <w:sz w:val="24"/>
              </w:rPr>
            </w:pPr>
            <w:r>
              <w:rPr>
                <w:rFonts w:eastAsia="仿宋_GB2312"/>
                <w:sz w:val="24"/>
              </w:rPr>
              <w:t>10%</w:t>
            </w:r>
          </w:p>
        </w:tc>
        <w:tc>
          <w:tcPr>
            <w:tcW w:w="1417" w:type="dxa"/>
            <w:noWrap w:val="0"/>
            <w:vAlign w:val="center"/>
          </w:tcPr>
          <w:p>
            <w:pPr>
              <w:spacing w:line="320" w:lineRule="exact"/>
              <w:jc w:val="center"/>
              <w:rPr>
                <w:rFonts w:eastAsia="仿宋_GB2312"/>
                <w:sz w:val="24"/>
              </w:rPr>
            </w:pPr>
            <w:r>
              <w:rPr>
                <w:rFonts w:eastAsia="仿宋_GB2312"/>
                <w:sz w:val="24"/>
              </w:rPr>
              <w:t>80%</w:t>
            </w:r>
          </w:p>
        </w:tc>
        <w:tc>
          <w:tcPr>
            <w:tcW w:w="1418" w:type="dxa"/>
            <w:noWrap w:val="0"/>
            <w:vAlign w:val="center"/>
          </w:tcPr>
          <w:p>
            <w:pPr>
              <w:spacing w:line="320" w:lineRule="exact"/>
              <w:jc w:val="center"/>
              <w:rPr>
                <w:rFonts w:eastAsia="仿宋_GB2312"/>
                <w:sz w:val="24"/>
              </w:rPr>
            </w:pPr>
            <w:r>
              <w:rPr>
                <w:rFonts w:eastAsia="仿宋_GB2312"/>
                <w:sz w:val="24"/>
              </w:rPr>
              <w:t>10%</w:t>
            </w:r>
          </w:p>
        </w:tc>
        <w:tc>
          <w:tcPr>
            <w:tcW w:w="1926"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总学时的2/3</w:t>
            </w:r>
          </w:p>
        </w:tc>
        <w:tc>
          <w:tcPr>
            <w:tcW w:w="1308" w:type="dxa"/>
            <w:vMerge w:val="restart"/>
            <w:noWrap w:val="0"/>
            <w:vAlign w:val="center"/>
          </w:tcPr>
          <w:p>
            <w:pPr>
              <w:spacing w:line="320" w:lineRule="exact"/>
              <w:jc w:val="center"/>
              <w:rPr>
                <w:rFonts w:eastAsia="仿宋_GB2312"/>
                <w:sz w:val="24"/>
              </w:rPr>
            </w:pPr>
            <w:r>
              <w:rPr>
                <w:rFonts w:hint="eastAsia"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Merge w:val="continue"/>
            <w:noWrap w:val="0"/>
            <w:vAlign w:val="center"/>
          </w:tcPr>
          <w:p>
            <w:pPr>
              <w:spacing w:line="320" w:lineRule="exact"/>
              <w:jc w:val="center"/>
              <w:rPr>
                <w:rFonts w:eastAsia="仿宋_GB2312"/>
                <w:b/>
                <w:sz w:val="24"/>
              </w:rPr>
            </w:pPr>
          </w:p>
        </w:tc>
        <w:tc>
          <w:tcPr>
            <w:tcW w:w="1761" w:type="dxa"/>
            <w:noWrap w:val="0"/>
            <w:vAlign w:val="center"/>
          </w:tcPr>
          <w:p>
            <w:pPr>
              <w:spacing w:line="320" w:lineRule="exact"/>
              <w:jc w:val="center"/>
              <w:rPr>
                <w:rFonts w:eastAsia="仿宋_GB2312"/>
                <w:sz w:val="24"/>
              </w:rPr>
            </w:pPr>
            <w:r>
              <w:rPr>
                <w:rFonts w:eastAsia="仿宋_GB2312"/>
                <w:sz w:val="24"/>
              </w:rPr>
              <w:t>县级</w:t>
            </w:r>
          </w:p>
        </w:tc>
        <w:tc>
          <w:tcPr>
            <w:tcW w:w="1417"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40</w:t>
            </w:r>
          </w:p>
        </w:tc>
        <w:tc>
          <w:tcPr>
            <w:tcW w:w="1417" w:type="dxa"/>
            <w:noWrap w:val="0"/>
            <w:vAlign w:val="center"/>
          </w:tcPr>
          <w:p>
            <w:pPr>
              <w:spacing w:line="320" w:lineRule="exact"/>
              <w:jc w:val="center"/>
              <w:rPr>
                <w:rFonts w:eastAsia="仿宋_GB2312"/>
                <w:sz w:val="24"/>
              </w:rPr>
            </w:pPr>
            <w:r>
              <w:rPr>
                <w:rFonts w:eastAsia="仿宋_GB2312"/>
                <w:sz w:val="24"/>
              </w:rPr>
              <w:t>10%</w:t>
            </w:r>
          </w:p>
        </w:tc>
        <w:tc>
          <w:tcPr>
            <w:tcW w:w="1417" w:type="dxa"/>
            <w:noWrap w:val="0"/>
            <w:vAlign w:val="center"/>
          </w:tcPr>
          <w:p>
            <w:pPr>
              <w:spacing w:line="320" w:lineRule="exact"/>
              <w:jc w:val="center"/>
              <w:rPr>
                <w:rFonts w:eastAsia="仿宋_GB2312"/>
                <w:sz w:val="24"/>
              </w:rPr>
            </w:pPr>
            <w:r>
              <w:rPr>
                <w:rFonts w:eastAsia="仿宋_GB2312"/>
                <w:sz w:val="24"/>
              </w:rPr>
              <w:t>80%</w:t>
            </w:r>
          </w:p>
        </w:tc>
        <w:tc>
          <w:tcPr>
            <w:tcW w:w="1418" w:type="dxa"/>
            <w:noWrap w:val="0"/>
            <w:vAlign w:val="center"/>
          </w:tcPr>
          <w:p>
            <w:pPr>
              <w:spacing w:line="320" w:lineRule="exact"/>
              <w:jc w:val="center"/>
              <w:rPr>
                <w:rFonts w:eastAsia="仿宋_GB2312"/>
                <w:sz w:val="24"/>
              </w:rPr>
            </w:pPr>
            <w:r>
              <w:rPr>
                <w:rFonts w:eastAsia="仿宋_GB2312"/>
                <w:sz w:val="24"/>
              </w:rPr>
              <w:t>10%</w:t>
            </w:r>
          </w:p>
        </w:tc>
        <w:tc>
          <w:tcPr>
            <w:tcW w:w="1926"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总学时的2/3</w:t>
            </w: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Merge w:val="restart"/>
            <w:noWrap w:val="0"/>
            <w:vAlign w:val="center"/>
          </w:tcPr>
          <w:p>
            <w:pPr>
              <w:spacing w:line="320" w:lineRule="exact"/>
              <w:jc w:val="center"/>
              <w:rPr>
                <w:rFonts w:eastAsia="仿宋_GB2312"/>
                <w:b/>
                <w:sz w:val="24"/>
              </w:rPr>
            </w:pPr>
            <w:r>
              <w:rPr>
                <w:rFonts w:eastAsia="仿宋_GB2312"/>
                <w:b/>
                <w:sz w:val="24"/>
              </w:rPr>
              <w:t>技能服务型</w:t>
            </w:r>
          </w:p>
        </w:tc>
        <w:tc>
          <w:tcPr>
            <w:tcW w:w="1761" w:type="dxa"/>
            <w:noWrap w:val="0"/>
            <w:vAlign w:val="center"/>
          </w:tcPr>
          <w:p>
            <w:pPr>
              <w:spacing w:line="320" w:lineRule="exact"/>
              <w:jc w:val="center"/>
              <w:rPr>
                <w:rFonts w:eastAsia="仿宋_GB2312"/>
                <w:sz w:val="24"/>
              </w:rPr>
            </w:pPr>
            <w:r>
              <w:rPr>
                <w:rFonts w:eastAsia="仿宋_GB2312"/>
                <w:sz w:val="24"/>
              </w:rPr>
              <w:t>地市级</w:t>
            </w:r>
          </w:p>
        </w:tc>
        <w:tc>
          <w:tcPr>
            <w:tcW w:w="1417" w:type="dxa"/>
            <w:noWrap w:val="0"/>
            <w:vAlign w:val="center"/>
          </w:tcPr>
          <w:p>
            <w:pPr>
              <w:spacing w:line="320" w:lineRule="exact"/>
              <w:jc w:val="center"/>
              <w:rPr>
                <w:rFonts w:eastAsia="仿宋_GB2312"/>
                <w:sz w:val="24"/>
              </w:rPr>
            </w:pPr>
            <w:r>
              <w:rPr>
                <w:rFonts w:eastAsia="仿宋_GB2312"/>
                <w:sz w:val="24"/>
              </w:rPr>
              <w:t>56</w:t>
            </w:r>
            <w:r>
              <w:rPr>
                <w:rFonts w:hint="eastAsia" w:eastAsia="仿宋_GB2312"/>
                <w:sz w:val="24"/>
              </w:rPr>
              <w:t>—</w:t>
            </w:r>
            <w:r>
              <w:rPr>
                <w:rFonts w:eastAsia="仿宋_GB2312"/>
                <w:sz w:val="24"/>
              </w:rPr>
              <w:t>80</w:t>
            </w:r>
          </w:p>
        </w:tc>
        <w:tc>
          <w:tcPr>
            <w:tcW w:w="1417" w:type="dxa"/>
            <w:noWrap w:val="0"/>
            <w:vAlign w:val="center"/>
          </w:tcPr>
          <w:p>
            <w:pPr>
              <w:spacing w:line="320" w:lineRule="exact"/>
              <w:jc w:val="center"/>
              <w:rPr>
                <w:rFonts w:eastAsia="仿宋_GB2312"/>
                <w:sz w:val="24"/>
              </w:rPr>
            </w:pPr>
            <w:r>
              <w:rPr>
                <w:rFonts w:eastAsia="仿宋_GB2312"/>
                <w:sz w:val="24"/>
              </w:rPr>
              <w:t>10%</w:t>
            </w:r>
          </w:p>
        </w:tc>
        <w:tc>
          <w:tcPr>
            <w:tcW w:w="1417" w:type="dxa"/>
            <w:noWrap w:val="0"/>
            <w:vAlign w:val="center"/>
          </w:tcPr>
          <w:p>
            <w:pPr>
              <w:spacing w:line="320" w:lineRule="exact"/>
              <w:jc w:val="center"/>
              <w:rPr>
                <w:rFonts w:eastAsia="仿宋_GB2312"/>
                <w:sz w:val="24"/>
              </w:rPr>
            </w:pPr>
            <w:r>
              <w:rPr>
                <w:rFonts w:eastAsia="仿宋_GB2312"/>
                <w:sz w:val="24"/>
              </w:rPr>
              <w:t>80%</w:t>
            </w:r>
          </w:p>
        </w:tc>
        <w:tc>
          <w:tcPr>
            <w:tcW w:w="1418" w:type="dxa"/>
            <w:noWrap w:val="0"/>
            <w:vAlign w:val="center"/>
          </w:tcPr>
          <w:p>
            <w:pPr>
              <w:spacing w:line="320" w:lineRule="exact"/>
              <w:jc w:val="center"/>
              <w:rPr>
                <w:rFonts w:eastAsia="仿宋_GB2312"/>
                <w:sz w:val="24"/>
              </w:rPr>
            </w:pPr>
            <w:r>
              <w:rPr>
                <w:rFonts w:eastAsia="仿宋_GB2312"/>
                <w:sz w:val="24"/>
              </w:rPr>
              <w:t>10%</w:t>
            </w:r>
          </w:p>
        </w:tc>
        <w:tc>
          <w:tcPr>
            <w:tcW w:w="1926"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总学时的2/3</w:t>
            </w:r>
          </w:p>
        </w:tc>
        <w:tc>
          <w:tcPr>
            <w:tcW w:w="1308" w:type="dxa"/>
            <w:vMerge w:val="continue"/>
            <w:noWrap w:val="0"/>
            <w:vAlign w:val="center"/>
          </w:tcPr>
          <w:p>
            <w:pPr>
              <w:spacing w:line="32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gridSpan w:val="2"/>
            <w:vMerge w:val="continue"/>
            <w:noWrap w:val="0"/>
            <w:vAlign w:val="center"/>
          </w:tcPr>
          <w:p>
            <w:pPr>
              <w:spacing w:line="320" w:lineRule="exact"/>
              <w:jc w:val="center"/>
              <w:rPr>
                <w:rFonts w:eastAsia="仿宋_GB2312"/>
                <w:sz w:val="24"/>
              </w:rPr>
            </w:pPr>
          </w:p>
        </w:tc>
        <w:tc>
          <w:tcPr>
            <w:tcW w:w="1761" w:type="dxa"/>
            <w:noWrap w:val="0"/>
            <w:vAlign w:val="center"/>
          </w:tcPr>
          <w:p>
            <w:pPr>
              <w:spacing w:line="320" w:lineRule="exact"/>
              <w:jc w:val="center"/>
              <w:rPr>
                <w:rFonts w:eastAsia="仿宋_GB2312"/>
                <w:sz w:val="24"/>
              </w:rPr>
            </w:pPr>
            <w:r>
              <w:rPr>
                <w:rFonts w:eastAsia="仿宋_GB2312"/>
                <w:sz w:val="24"/>
              </w:rPr>
              <w:t>县级</w:t>
            </w:r>
          </w:p>
        </w:tc>
        <w:tc>
          <w:tcPr>
            <w:tcW w:w="1417"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40</w:t>
            </w:r>
          </w:p>
        </w:tc>
        <w:tc>
          <w:tcPr>
            <w:tcW w:w="1417" w:type="dxa"/>
            <w:noWrap w:val="0"/>
            <w:vAlign w:val="center"/>
          </w:tcPr>
          <w:p>
            <w:pPr>
              <w:spacing w:line="320" w:lineRule="exact"/>
              <w:jc w:val="center"/>
              <w:rPr>
                <w:rFonts w:eastAsia="仿宋_GB2312"/>
                <w:sz w:val="24"/>
              </w:rPr>
            </w:pPr>
            <w:r>
              <w:rPr>
                <w:rFonts w:eastAsia="仿宋_GB2312"/>
                <w:sz w:val="24"/>
              </w:rPr>
              <w:t>10%</w:t>
            </w:r>
          </w:p>
        </w:tc>
        <w:tc>
          <w:tcPr>
            <w:tcW w:w="1417" w:type="dxa"/>
            <w:noWrap w:val="0"/>
            <w:vAlign w:val="center"/>
          </w:tcPr>
          <w:p>
            <w:pPr>
              <w:spacing w:line="320" w:lineRule="exact"/>
              <w:jc w:val="center"/>
              <w:rPr>
                <w:rFonts w:eastAsia="仿宋_GB2312"/>
                <w:sz w:val="24"/>
              </w:rPr>
            </w:pPr>
            <w:r>
              <w:rPr>
                <w:rFonts w:eastAsia="仿宋_GB2312"/>
                <w:sz w:val="24"/>
              </w:rPr>
              <w:t>80%</w:t>
            </w:r>
          </w:p>
        </w:tc>
        <w:tc>
          <w:tcPr>
            <w:tcW w:w="1418" w:type="dxa"/>
            <w:noWrap w:val="0"/>
            <w:vAlign w:val="center"/>
          </w:tcPr>
          <w:p>
            <w:pPr>
              <w:spacing w:line="320" w:lineRule="exact"/>
              <w:jc w:val="center"/>
              <w:rPr>
                <w:rFonts w:eastAsia="仿宋_GB2312"/>
                <w:sz w:val="24"/>
              </w:rPr>
            </w:pPr>
            <w:r>
              <w:rPr>
                <w:rFonts w:eastAsia="仿宋_GB2312"/>
                <w:sz w:val="24"/>
              </w:rPr>
              <w:t>10%</w:t>
            </w:r>
          </w:p>
        </w:tc>
        <w:tc>
          <w:tcPr>
            <w:tcW w:w="1926" w:type="dxa"/>
            <w:noWrap w:val="0"/>
            <w:vAlign w:val="center"/>
          </w:tcPr>
          <w:p>
            <w:pPr>
              <w:spacing w:line="320" w:lineRule="exact"/>
              <w:jc w:val="center"/>
              <w:rPr>
                <w:rFonts w:eastAsia="仿宋_GB2312"/>
                <w:sz w:val="24"/>
              </w:rPr>
            </w:pPr>
            <w:r>
              <w:rPr>
                <w:rFonts w:hint="eastAsia" w:ascii="仿宋_GB2312" w:eastAsia="仿宋_GB2312"/>
                <w:sz w:val="24"/>
              </w:rPr>
              <w:t>≥</w:t>
            </w:r>
            <w:r>
              <w:rPr>
                <w:rFonts w:eastAsia="仿宋_GB2312"/>
                <w:sz w:val="24"/>
              </w:rPr>
              <w:t>总学时的2/3</w:t>
            </w:r>
          </w:p>
        </w:tc>
        <w:tc>
          <w:tcPr>
            <w:tcW w:w="1308" w:type="dxa"/>
            <w:vMerge w:val="continue"/>
            <w:noWrap w:val="0"/>
            <w:vAlign w:val="center"/>
          </w:tcPr>
          <w:p>
            <w:pPr>
              <w:spacing w:line="320" w:lineRule="exact"/>
              <w:jc w:val="center"/>
              <w:rPr>
                <w:rFonts w:eastAsia="仿宋_GB2312"/>
                <w:sz w:val="24"/>
              </w:rPr>
            </w:pPr>
          </w:p>
        </w:tc>
      </w:tr>
    </w:tbl>
    <w:p>
      <w:pPr>
        <w:widowControl/>
        <w:jc w:val="left"/>
        <w:rPr>
          <w:rFonts w:eastAsia="仿宋_GB2312"/>
          <w:color w:val="000000"/>
          <w:sz w:val="32"/>
          <w:szCs w:val="32"/>
        </w:rPr>
      </w:pPr>
    </w:p>
    <w:p>
      <w:pPr>
        <w:ind w:firstLine="420" w:firstLineChars="200"/>
      </w:pPr>
    </w:p>
    <w:p/>
    <w:sectPr>
      <w:pgSz w:w="16838" w:h="11906" w:orient="landscape"/>
      <w:pgMar w:top="1797" w:right="1440" w:bottom="1797" w:left="1440"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6 -</w:t>
    </w:r>
    <w:r>
      <w:rPr>
        <w:sz w:val="24"/>
        <w:szCs w:val="24"/>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1734D0F"/>
    <w:rsid w:val="11734D0F"/>
    <w:rsid w:val="3086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3668</Words>
  <Characters>3801</Characters>
  <Lines>0</Lines>
  <Paragraphs>0</Paragraphs>
  <TotalTime>0</TotalTime>
  <ScaleCrop>false</ScaleCrop>
  <LinksUpToDate>false</LinksUpToDate>
  <CharactersWithSpaces>3810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2020-08-25T07:23:00Z</dcterms:created>
  <dc:creator>1</dc:creator>
  <cp:lastModifiedBy>龚秀娟</cp:lastModifiedBy>
  <dcterms:modified xsi:type="dcterms:W3CDTF">2023-05-22T02:31:17Z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2F8318F22EDE47D2A4BB46D690083B15_12</vt:lpwstr>
  </property>
</Properties>
</file>