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小标宋" w:hAnsi="小标宋" w:eastAsia="小标宋" w:cs="小标宋"/>
          <w:bCs/>
          <w:sz w:val="44"/>
          <w:szCs w:val="44"/>
        </w:rPr>
      </w:pPr>
      <w:r>
        <w:rPr>
          <w:rFonts w:hint="eastAsia" w:ascii="小标宋" w:hAnsi="小标宋" w:eastAsia="小标宋" w:cs="小标宋"/>
          <w:bCs/>
          <w:sz w:val="44"/>
          <w:szCs w:val="44"/>
        </w:rPr>
        <w:t xml:space="preserve">教育部、国家发展改革委、财政部关于做好2003年学校收费工作有关问题的通知 </w:t>
      </w:r>
      <w:r>
        <w:rPr>
          <w:rFonts w:hint="eastAsia" w:ascii="小标宋" w:hAnsi="小标宋" w:eastAsia="小标宋" w:cs="小标宋"/>
          <w:bCs/>
          <w:sz w:val="44"/>
          <w:szCs w:val="44"/>
        </w:rPr>
        <w:br w:type="textWrapping"/>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2003年5月15日           教财〔2003〕4号</w:t>
      </w:r>
    </w:p>
    <w:p>
      <w:pPr>
        <w:spacing w:line="600" w:lineRule="exact"/>
        <w:jc w:val="center"/>
        <w:rPr>
          <w:rFonts w:ascii="仿宋" w:hAnsi="仿宋" w:eastAsia="仿宋" w:cs="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(教委)、计委(物价局)、财政厅(局)，新疆生产建设兵团教委、计委、财务局：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近年来，在国务院的统一领导下，经过各级教育行政、价格、财政等有关部门和学校的共同努力，学校收费管理工作逐步规范，乱收费势头得到一定的遏制，对促进教育事业健康发</w:t>
      </w:r>
      <w:bookmarkStart w:id="0" w:name="_GoBack"/>
      <w:bookmarkEnd w:id="0"/>
      <w:r>
        <w:rPr>
          <w:rFonts w:hint="eastAsia" w:ascii="仿宋_GB2312" w:hAnsi="仿宋_GB2312" w:eastAsia="仿宋_GB2312" w:cs="仿宋_GB2312"/>
          <w:sz w:val="32"/>
          <w:szCs w:val="32"/>
        </w:rPr>
        <w:t>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一、各级各类学校收费政策继续保持稳定</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2003年，政府举办的各级各类学校的收费标准不得提高，也不得设立新的收费项目，除按国家规定的项目和标准收费外，学校不得再向学生收取其他任何费用。</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二、国家扶贫开发工作重点县的农村小学和初中要按规定全面实行“一费制”收费办法</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2003年，各地必须严格按照《教育部、国家计委、财政部关于切实做好2002年农村贫困地区义务教育阶段“一费制”试行工作的通知》(教电〔2002〕53号)规定，在所有国家扶贫开发工作重点县的农村小学和农村初中全面实行“一费制”收费办法，不得以任何借口推迟或不实行。实行“一费制”后，因杂费、课本费收费标准降低形成的经费缺口，应按照省级人民政府核定的当地中小学公用经费标准定额，由县级财政预算予以安排；县级财力不足、财政预算安排有困难的地区，由上级人民政府通过转移支付解决；因滥开支或取消乱收费形成的经费缺口，则不予弥补。</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三、公办高中招收择校生要严格执行“三限”政策</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线。</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四、严格规范高等学校收费管理</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经省级教育行政和价格、财政部门批准按照学分制制定学费标准的学校，学生完成学业所缴纳的学费总额不得高于实行学年制的学费总额。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经批准设立的民办二级学院、网络学院、计算机软件学院和中外合作办学机构，在严格核算生均培养成本的基础上，可实行按成本收取学费的原则，具体收费标准按属地化原则管理。民办二级学院、网络学院、计算机软件学院的收费由学校所在地的省级教育行政部门提出意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高等学校不得向参加补考或申请转专业的学生收取“补考费”、“转专业费”。</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五、进一步做好资助经济困难学生工作</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有关部门和高等学校要认真执行国家关于资助经济困难学生的有关规定，完善“奖、贷、助、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后，耐心细致地做好思想工作，促使这类学生按规定缴纳学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对中小学学生要进一步落实包括贫困学生助学金、减免学杂费等在内的资助政策和措施，帮助家庭经济困难的学生就学。</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六、全面落实教育收费公示制度</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七、进一步加强学校收费收入管理</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八、采取切实措施，坚决治理乱收费</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要按照中央纪委的部署与要求，进一步加大治理学校乱收费的工作力度。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地方政府及有关部门通过学校向学生搭车收费、乱摊派、乱集资的，学校有权予以拒绝。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学校不得向学生收取任何性质的押金。捐资助学必须坚持自愿的原则，严禁与招生、入学和考试成绩挂钩。高等学校不得以任何名义或形式向学生收取“赞助费”或捐款等。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各级教育行政部门和其他有关部门不得以任何形式强迫学校订购教辅材料；教材发行部门不得向学校征订或随教材搭售一切形式的教辅材料；禁止学校和教师向学生推销或组织学生集体购买教辅材料。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要加强监督检查，落实学校收费管理领导责任制和责任追究制，加大对乱收费的惩处力度；对巧立名目乱收费或自行提高收费标准的，要严肃查处，并对有关责任人进行处罚。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各地区、各部门有关学校收费的规定，凡与本通知不一致的，一律以本通知为准。</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line="80" w:lineRule="exact"/>
        <w:rPr>
          <w:rFonts w:ascii="仿宋" w:hAnsi="仿宋" w:eastAsia="仿宋" w:cs="仿宋"/>
          <w:sz w:val="32"/>
          <w:szCs w:val="32"/>
        </w:rPr>
      </w:pPr>
    </w:p>
    <w:p>
      <w:pPr>
        <w:spacing w:line="80" w:lineRule="exact"/>
        <w:rPr>
          <w:rFonts w:ascii="仿宋" w:hAnsi="仿宋" w:eastAsia="仿宋" w:cs="仿宋"/>
          <w:sz w:val="32"/>
          <w:szCs w:val="32"/>
        </w:rPr>
      </w:pPr>
    </w:p>
    <w:p>
      <w:pPr>
        <w:spacing w:line="80" w:lineRule="exact"/>
        <w:rPr>
          <w:rFonts w:ascii="仿宋" w:hAnsi="仿宋" w:eastAsia="仿宋" w:cs="仿宋"/>
          <w:sz w:val="32"/>
          <w:szCs w:val="32"/>
        </w:rPr>
      </w:pPr>
    </w:p>
    <w:p>
      <w:pPr>
        <w:spacing w:line="80" w:lineRule="exact"/>
        <w:rPr>
          <w:rFonts w:ascii="仿宋" w:hAnsi="仿宋" w:eastAsia="仿宋" w:cs="仿宋"/>
          <w:sz w:val="32"/>
          <w:szCs w:val="32"/>
        </w:rPr>
      </w:pPr>
    </w:p>
    <w:p>
      <w:pPr>
        <w:spacing w:line="80" w:lineRule="exact"/>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http://www.moe.gov.cn/jyb_xxgk/gk_gbgg/moe_0/moe_9/moe_36/tnull_477.html</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13DE3"/>
    <w:rsid w:val="0008551B"/>
    <w:rsid w:val="00151849"/>
    <w:rsid w:val="003353DA"/>
    <w:rsid w:val="0064279E"/>
    <w:rsid w:val="00BF74A3"/>
    <w:rsid w:val="00F13DE3"/>
    <w:rsid w:val="0DEC3DA9"/>
    <w:rsid w:val="189052B1"/>
    <w:rsid w:val="2C017B43"/>
    <w:rsid w:val="3ECE479E"/>
    <w:rsid w:val="5BC903D6"/>
    <w:rsid w:val="7F88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6</Pages>
  <Words>1354</Words>
  <Characters>1517</Characters>
  <Lines>101</Lines>
  <Paragraphs>95</Paragraphs>
  <TotalTime>0</TotalTime>
  <ScaleCrop>false</ScaleCrop>
  <LinksUpToDate>false</LinksUpToDate>
  <CharactersWithSpaces>2776</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2021-11-18T01:30:00Z</dcterms:created>
  <dc:creator>lenovo</dc:creator>
  <cp:lastModifiedBy>龚秀娟</cp:lastModifiedBy>
  <dcterms:modified xsi:type="dcterms:W3CDTF">2024-01-18T01:36:54Z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E233C38219FF4DE1AE2153451DEED9A6</vt:lpwstr>
  </property>
</Properties>
</file>