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  <w:lang w:val="en-US" w:eastAsia="zh-CN" w:bidi="ar"/>
        </w:rPr>
        <w:t>工程渣土全过程排查不规范行为统计表</w:t>
      </w:r>
    </w:p>
    <w:p>
      <w:pPr>
        <w:spacing w:line="300" w:lineRule="exact"/>
        <w:ind w:firstLine="960" w:firstLineChars="200"/>
        <w:jc w:val="both"/>
        <w:rPr>
          <w:rFonts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  <w:lang w:val="en-US" w:eastAsia="zh-CN" w:bidi="ar"/>
        </w:rPr>
      </w:pPr>
    </w:p>
    <w:p>
      <w:pPr>
        <w:spacing w:line="400" w:lineRule="exact"/>
        <w:ind w:firstLine="480" w:firstLineChars="200"/>
        <w:jc w:val="both"/>
        <w:rPr>
          <w:rFonts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 w:bidi="ar"/>
        </w:rPr>
        <w:t>填报单位：                                                               填报时间：    年    月     日</w:t>
      </w:r>
    </w:p>
    <w:tbl>
      <w:tblPr>
        <w:tblStyle w:val="2"/>
        <w:tblW w:w="144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6"/>
        <w:gridCol w:w="1275"/>
        <w:gridCol w:w="1461"/>
        <w:gridCol w:w="1239"/>
        <w:gridCol w:w="1530"/>
        <w:gridCol w:w="1260"/>
        <w:gridCol w:w="1562"/>
        <w:gridCol w:w="1744"/>
        <w:gridCol w:w="15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473" w:type="dxa"/>
            <w:gridSpan w:val="9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产生管理方面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类别名称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现有数量</w:t>
            </w: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处置未纳入方案和合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同数</w:t>
            </w: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处置方案 未备案数</w:t>
            </w: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未依法实施招投标数</w:t>
            </w: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未与处置企业签订合同数</w:t>
            </w: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未编制方案或未备案开工数</w:t>
            </w: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未安装号牌识别仪、自动称重仪数</w:t>
            </w: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渣土自行  回填处置数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 w:bidi="ar"/>
              </w:rPr>
              <w:t>房屋市政工程(个)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 w:bidi="ar"/>
              </w:rPr>
              <w:t>水利工程(个)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 w:bidi="ar"/>
              </w:rPr>
              <w:t>交通工程(个)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 w:bidi="ar"/>
              </w:rPr>
              <w:t>农村基础设施工程(个)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473" w:type="dxa"/>
            <w:gridSpan w:val="9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清运管理方面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类别名称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现有数量</w:t>
            </w: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未经核准  运输处置数</w:t>
            </w: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车(船)未安装互联装置数</w:t>
            </w: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场地码头未安装监控数</w:t>
            </w: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未实施电子转移联单数</w:t>
            </w: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无证运输数</w:t>
            </w: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超载、越线(航道)行驶数</w:t>
            </w: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偷倒乱倒数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 w:bidi="ar"/>
              </w:rPr>
              <w:t>运输企业(家)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473" w:type="dxa"/>
            <w:gridSpan w:val="9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清运管理方面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类别名称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现有数量</w:t>
            </w: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未经核准  运输处置数</w:t>
            </w: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车(船)未安装互联装置数</w:t>
            </w: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场地码头未安装监控数</w:t>
            </w: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未实施电子转移联单数</w:t>
            </w: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无证运输数</w:t>
            </w: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超载、越线(航道)行驶数</w:t>
            </w: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偷倒乱倒数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 w:bidi="ar"/>
              </w:rPr>
              <w:t>中转场所、码头(个)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 w:bidi="ar"/>
              </w:rPr>
              <w:t>运输车辆(辆)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 w:bidi="ar"/>
              </w:rPr>
              <w:t>运输船舶(艘)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473" w:type="dxa"/>
            <w:gridSpan w:val="9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消纳管理方面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类别名称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现有数量</w:t>
            </w: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未纳入环境污染防治工作规划数</w:t>
            </w: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未纳入国土空间规划数</w:t>
            </w: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场所用地未落实数</w:t>
            </w: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环评不规范及时数</w:t>
            </w: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安全作业 不规范数</w:t>
            </w: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尚需规划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建设数</w:t>
            </w: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其他固废 混处数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 w:bidi="ar"/>
              </w:rPr>
              <w:t>填埋处理场所(个)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 w:bidi="ar"/>
              </w:rPr>
              <w:t>堆放贮存场所(个)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 w:bidi="ar"/>
              </w:rPr>
              <w:t>场地平整场所(处)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 w:bidi="ar"/>
              </w:rPr>
              <w:t>其他直接利用场所(处)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84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 w:bidi="ar"/>
              </w:rPr>
              <w:t>资源化利用企业(家)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461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39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62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74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55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73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val="en-US" w:eastAsia="zh-CN" w:bidi="ar"/>
              </w:rPr>
              <w:t>说明：本表由各相关职能部门填报后报市专班。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6C5265BC"/>
    <w:rsid w:val="6C52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2023-03-13T08:56:00Z</dcterms:created>
  <dc:creator>龚秀娟</dc:creator>
  <cp:lastModifiedBy>龚秀娟</cp:lastModifiedBy>
  <dcterms:modified xsi:type="dcterms:W3CDTF">2023-03-13T08:56:38Z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E460855003AD4C6496E210A55E6A505A</vt:lpwstr>
  </property>
</Properties>
</file>