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pacing w:val="20"/>
          <w:sz w:val="44"/>
          <w:szCs w:val="32"/>
        </w:rPr>
        <w:t>“家庭关系服务”试点核心任务清单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32"/>
        </w:rPr>
      </w:pPr>
    </w:p>
    <w:tbl>
      <w:tblPr>
        <w:tblStyle w:val="5"/>
        <w:tblW w:w="13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783"/>
        <w:gridCol w:w="5623"/>
        <w:gridCol w:w="279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tblHeader/>
          <w:jc w:val="center"/>
        </w:trPr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预期目标成果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核心任务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完成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以家庭为单位的公共服务工作体系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组建工作领导小组，形成工作机制，将家庭相关数据进行有效整合，形成系统全面、上下衔接的家庭建设指导体系。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发改局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建立“家庭关系服务”分级分类数据库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按照数据质量形成“高精准库”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次精准库”“待核查库”，并根据数据质量支撑不同应用落地。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数管中心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发改局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建立“家庭关系服务”数据多途径校核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机制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开展线上多源数据碰撞和线下实地核验。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试点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成员单位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推动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一批“家庭关系服务”场景先行先试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政务服务场景8个，生活类场景5个，治理类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场景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2个。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档案馆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社建委、公安局、卫健局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文广旅体局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公积金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残联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新增政务服务场景3个，生活类场景6个。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局、民政局、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机场公司、医保局、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卫健局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新增政务服务场景2个，生活类场景3个。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建设局、人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、联通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保险公司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各社区（村）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探索制定以“家庭关系服务”为支撑的重点群体激励政策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研究以家庭为基本单元的“扩中”“提低”对象的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认定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标准，搭建家庭收入分配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模型、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消费模型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探索制定和实施符合各类群体特征和需求的个性化激励政策体系，助力共同富裕。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社建委、财政局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各激励政策制定的相关部门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探索社区工作者力量参与家庭公共服务建设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充分借助社区工作者力量，将以家庭为单位的公共服务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社区贯通落地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依托“浙里公共服务在线”应用，提供以家庭为单位的公共服务查询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福利申报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各镇街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形成“家庭关系服务”试点理论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成果、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制度成果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围绕“家庭关系服务”试点工作体系、政策体系、评价体系建设等方面，加强试点推进过程中的重要问题研究，形成有义乌辨识度的实践成果、理论成果和制度成果。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试点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成员单位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做好“家庭关系服务”数据安全防护</w:t>
            </w:r>
          </w:p>
        </w:tc>
        <w:tc>
          <w:tcPr>
            <w:tcW w:w="562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严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格遵守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网络安全法》《浙江省公共数据条例》等相关法律法规，做好家庭关系数据的防护，避免数据泄露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仿宋_GB2312" w:hAnsi="仿宋_GB2312" w:eastAsia="仿宋_GB2312" w:cs="仿宋_GB2312"/>
                <w:strike w:val="0"/>
                <w:dstrike w:val="0"/>
                <w:color w:val="000000"/>
                <w:kern w:val="0"/>
                <w:sz w:val="24"/>
                <w:szCs w:val="24"/>
              </w:rPr>
              <w:t>重大网络安全事故发生。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试点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成员单位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</w:tbl>
    <w:p>
      <w: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601453B"/>
    <w:rsid w:val="360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2023-07-31T03:23:00Z</dcterms:created>
  <dc:creator>龚秀娟</dc:creator>
  <cp:lastModifiedBy>龚秀娟</cp:lastModifiedBy>
  <dcterms:modified xsi:type="dcterms:W3CDTF">2023-07-31T03:24:31Z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6F865899275E43F2A488A2B41FC1DE4C_11</vt:lpwstr>
  </property>
</Properties>
</file>