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20"/>
          <w:sz w:val="44"/>
          <w:szCs w:val="44"/>
          <w:lang w:val="en-US" w:eastAsia="zh-CN"/>
        </w:rPr>
        <w:t>—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4"/>
          <w:szCs w:val="44"/>
        </w:rPr>
        <w:t>2025年</w:t>
      </w:r>
      <w:r>
        <w:rPr>
          <w:rFonts w:hint="eastAsia" w:eastAsia="方正小标宋简体" w:cs="Times New Roman"/>
          <w:color w:val="auto"/>
          <w:spacing w:val="20"/>
          <w:sz w:val="44"/>
          <w:szCs w:val="44"/>
          <w:lang w:eastAsia="zh-CN"/>
        </w:rPr>
        <w:t>义乌市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4"/>
          <w:szCs w:val="44"/>
        </w:rPr>
        <w:t>中医药发展主要指标表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20"/>
          <w:sz w:val="44"/>
          <w:szCs w:val="44"/>
        </w:rPr>
      </w:pPr>
    </w:p>
    <w:tbl>
      <w:tblPr>
        <w:tblStyle w:val="4"/>
        <w:tblW w:w="47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21"/>
        <w:gridCol w:w="7083"/>
        <w:gridCol w:w="1010"/>
        <w:gridCol w:w="138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87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类别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指标名称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年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2025年目标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中医药服务体系与能力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国家级、省级中医医学中心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中医医疗中心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个以上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全国公立中医医院绩效考核A级以上医院数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公立中医医院中医类执业（助理）医师占比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基层医疗机构中医类执业（助理）医师占比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56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基层中医诊疗人次占比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中医药科技创新与人才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省级以上中医药科研立项项目数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项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厅局级以上中医药科研立项项目数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项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推广中医优势病种诊疗方案数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各级名中医传承工作站（室）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中医药科技创新与人才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国家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中医药优秀人才数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人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浙江省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名中医人数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人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省基层名中医等其他省级人才数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人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中医药文化传播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公民中医药健康文化素养水平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22.8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30以上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中医药文化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进校园示范学校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参与省级合作共建中医药海外中心、国际合作基地和服务出口基地数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中医药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产业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中医药生产、服务总产值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亿元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pct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63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全国百强中医药工业企业数</w:t>
            </w:r>
          </w:p>
        </w:tc>
        <w:tc>
          <w:tcPr>
            <w:tcW w:w="375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514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20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3DD45382"/>
    <w:rsid w:val="3DD4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2023-12-11T07:29:00Z</dcterms:created>
  <dc:creator>龚秀娟</dc:creator>
  <cp:lastModifiedBy>龚秀娟</cp:lastModifiedBy>
  <dcterms:modified xsi:type="dcterms:W3CDTF">2023-12-11T07:30:09Z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26532898F95842EE8F09D8A1509F0B90_11</vt:lpwstr>
  </property>
</Properties>
</file>