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rPr>
          <w:rFonts w:hint="eastAsia" w:ascii="黑体" w:hAnsi="黑体" w:eastAsia="黑体" w:cs="黑体"/>
          <w:color w:val="auto"/>
          <w:sz w:val="32"/>
          <w:szCs w:val="32"/>
        </w:rPr>
      </w:pPr>
      <w:r>
        <w:rPr>
          <w:rFonts w:hint="eastAsia" w:ascii="黑体" w:hAnsi="黑体" w:eastAsia="黑体" w:cs="黑体"/>
          <w:color w:val="auto"/>
          <w:sz w:val="32"/>
          <w:szCs w:val="32"/>
        </w:rPr>
        <w:t>附件</w:t>
      </w:r>
    </w:p>
    <w:p>
      <w:pPr>
        <w:widowControl/>
        <w:shd w:val="clear" w:color="auto" w:fill="FFFFFF"/>
        <w:jc w:val="center"/>
        <w:rPr>
          <w:rFonts w:hint="eastAsia" w:ascii="方正小标宋简体" w:hAnsi="微软雅黑" w:eastAsia="方正小标宋简体" w:cs="宋体"/>
          <w:color w:val="auto"/>
          <w:kern w:val="0"/>
          <w:sz w:val="36"/>
          <w:szCs w:val="36"/>
        </w:rPr>
      </w:pPr>
    </w:p>
    <w:p>
      <w:pPr>
        <w:widowControl/>
        <w:shd w:val="clear" w:color="auto" w:fill="FFFFFF"/>
        <w:jc w:val="center"/>
        <w:rPr>
          <w:rFonts w:hint="eastAsia" w:ascii="方正小标宋简体" w:hAnsi="微软雅黑" w:eastAsia="方正小标宋简体" w:cs="宋体"/>
          <w:color w:val="auto"/>
          <w:kern w:val="0"/>
          <w:sz w:val="36"/>
          <w:szCs w:val="36"/>
        </w:rPr>
      </w:pPr>
      <w:r>
        <w:rPr>
          <w:rFonts w:hint="eastAsia" w:ascii="方正小标宋简体" w:hAnsi="微软雅黑" w:eastAsia="方正小标宋简体" w:cs="宋体"/>
          <w:color w:val="auto"/>
          <w:kern w:val="0"/>
          <w:sz w:val="36"/>
          <w:szCs w:val="36"/>
        </w:rPr>
        <w:t>义乌市物业服务企业信用信息管理办法(</w:t>
      </w:r>
      <w:r>
        <w:rPr>
          <w:rFonts w:hint="eastAsia" w:ascii="方正小标宋简体" w:hAnsi="微软雅黑" w:eastAsia="方正小标宋简体" w:cs="宋体"/>
          <w:color w:val="auto"/>
          <w:kern w:val="0"/>
          <w:sz w:val="36"/>
          <w:szCs w:val="36"/>
          <w:lang w:val="en-US" w:eastAsia="zh-CN"/>
        </w:rPr>
        <w:t>2021年修订版</w:t>
      </w:r>
      <w:r>
        <w:rPr>
          <w:rFonts w:hint="eastAsia" w:ascii="方正小标宋简体" w:hAnsi="微软雅黑" w:eastAsia="方正小标宋简体" w:cs="宋体"/>
          <w:color w:val="auto"/>
          <w:kern w:val="0"/>
          <w:sz w:val="36"/>
          <w:szCs w:val="36"/>
        </w:rPr>
        <w:t xml:space="preserve">) </w:t>
      </w:r>
    </w:p>
    <w:p>
      <w:pPr>
        <w:widowControl/>
        <w:shd w:val="clear" w:color="auto" w:fill="FFFFFF"/>
        <w:jc w:val="center"/>
        <w:rPr>
          <w:rFonts w:ascii="黑体" w:hAnsi="黑体" w:eastAsia="黑体" w:cs="宋体"/>
          <w:color w:val="auto"/>
          <w:kern w:val="0"/>
          <w:sz w:val="32"/>
          <w:szCs w:val="32"/>
        </w:rPr>
      </w:pPr>
    </w:p>
    <w:p>
      <w:pPr>
        <w:widowControl/>
        <w:shd w:val="clear" w:color="auto" w:fill="FFFFFF"/>
        <w:jc w:val="left"/>
        <w:rPr>
          <w:rFonts w:hint="eastAsia" w:ascii="仿宋_GB2312" w:hAnsi="微软雅黑" w:eastAsia="仿宋_GB2312" w:cs="宋体"/>
          <w:color w:val="auto"/>
          <w:kern w:val="0"/>
          <w:sz w:val="32"/>
          <w:szCs w:val="32"/>
        </w:rPr>
      </w:pPr>
      <w:r>
        <w:rPr>
          <w:rFonts w:hint="eastAsia" w:ascii="仿宋_GB2312" w:hAnsi="黑体" w:eastAsia="仿宋_GB2312" w:cs="宋体"/>
          <w:color w:val="auto"/>
          <w:kern w:val="0"/>
          <w:sz w:val="32"/>
          <w:szCs w:val="32"/>
        </w:rPr>
        <w:t>　　一、</w:t>
      </w:r>
      <w:r>
        <w:rPr>
          <w:rFonts w:hint="eastAsia" w:ascii="仿宋_GB2312" w:hAnsi="微软雅黑" w:eastAsia="仿宋_GB2312" w:cs="宋体"/>
          <w:color w:val="auto"/>
          <w:kern w:val="0"/>
          <w:sz w:val="32"/>
          <w:szCs w:val="32"/>
        </w:rPr>
        <w:t>为提升物业服务质量，营造公平诚信的市场环境，促进我市物业服务市场规范有序发展，根据《物业管理条例》《浙江省物业管理条例》《浙江省公共信用信息管理条例》《浙江省物业服务企业信用信息管理办法》等规定，结合本市实际，制定本办法。</w:t>
      </w:r>
    </w:p>
    <w:p>
      <w:pPr>
        <w:widowControl/>
        <w:shd w:val="clear" w:color="auto" w:fill="FFFFFF"/>
        <w:jc w:val="left"/>
        <w:rPr>
          <w:rFonts w:hint="eastAsia" w:ascii="仿宋_GB2312" w:hAnsi="微软雅黑" w:eastAsia="仿宋_GB2312" w:cs="宋体"/>
          <w:color w:val="auto"/>
          <w:kern w:val="0"/>
          <w:sz w:val="32"/>
          <w:szCs w:val="32"/>
        </w:rPr>
      </w:pPr>
      <w:r>
        <w:rPr>
          <w:rFonts w:hint="eastAsia" w:ascii="仿宋_GB2312" w:hAnsi="黑体" w:eastAsia="仿宋_GB2312" w:cs="宋体"/>
          <w:color w:val="auto"/>
          <w:kern w:val="0"/>
          <w:sz w:val="32"/>
          <w:szCs w:val="32"/>
        </w:rPr>
        <w:t>　　二、</w:t>
      </w:r>
      <w:r>
        <w:rPr>
          <w:rFonts w:hint="eastAsia" w:ascii="仿宋_GB2312" w:hAnsi="微软雅黑" w:eastAsia="仿宋_GB2312" w:cs="宋体"/>
          <w:color w:val="auto"/>
          <w:kern w:val="0"/>
          <w:sz w:val="32"/>
          <w:szCs w:val="32"/>
        </w:rPr>
        <w:t>对依法设立、在本市行政区域内从事物业服务活动的企业实施信用信息管理，适用本办法。</w:t>
      </w:r>
    </w:p>
    <w:p>
      <w:pPr>
        <w:widowControl/>
        <w:shd w:val="clear" w:color="auto" w:fill="FFFFFF"/>
        <w:jc w:val="left"/>
        <w:rPr>
          <w:rFonts w:hint="eastAsia" w:ascii="仿宋_GB2312" w:hAnsi="微软雅黑" w:eastAsia="仿宋_GB2312" w:cs="宋体"/>
          <w:color w:val="auto"/>
          <w:kern w:val="0"/>
          <w:sz w:val="32"/>
          <w:szCs w:val="32"/>
        </w:rPr>
      </w:pPr>
      <w:r>
        <w:rPr>
          <w:rFonts w:hint="eastAsia" w:ascii="仿宋_GB2312" w:hAnsi="黑体" w:eastAsia="仿宋_GB2312" w:cs="宋体"/>
          <w:color w:val="auto"/>
          <w:kern w:val="0"/>
          <w:sz w:val="32"/>
          <w:szCs w:val="32"/>
        </w:rPr>
        <w:t>　　三、</w:t>
      </w:r>
      <w:r>
        <w:rPr>
          <w:rFonts w:hint="eastAsia" w:ascii="仿宋_GB2312" w:hAnsi="微软雅黑" w:eastAsia="仿宋_GB2312" w:cs="宋体"/>
          <w:color w:val="auto"/>
          <w:kern w:val="0"/>
          <w:sz w:val="32"/>
          <w:szCs w:val="32"/>
        </w:rPr>
        <w:t>义乌市住房和城乡建设局（以下简称建设局）负责指导和监督全市物业服务市场诚信体系建设工作，增加“义乌建设行业信用平台-物业企业”模块（以下简称物业信用平台），采集、评定、发布全市物业服务企业信用信息，公开信用等级。</w:t>
      </w:r>
    </w:p>
    <w:p>
      <w:pPr>
        <w:widowControl/>
        <w:shd w:val="clear" w:color="auto" w:fill="FFFFFF"/>
        <w:jc w:val="left"/>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　　</w:t>
      </w:r>
      <w:r>
        <w:rPr>
          <w:rFonts w:hint="eastAsia" w:ascii="仿宋_GB2312" w:hAnsi="黑体" w:eastAsia="仿宋_GB2312" w:cs="宋体"/>
          <w:color w:val="auto"/>
          <w:kern w:val="0"/>
          <w:sz w:val="32"/>
          <w:szCs w:val="32"/>
        </w:rPr>
        <w:t>四、</w:t>
      </w:r>
      <w:r>
        <w:rPr>
          <w:rFonts w:hint="eastAsia" w:ascii="仿宋_GB2312" w:hAnsi="微软雅黑" w:eastAsia="仿宋_GB2312" w:cs="宋体"/>
          <w:color w:val="auto"/>
          <w:kern w:val="0"/>
          <w:sz w:val="32"/>
          <w:szCs w:val="32"/>
        </w:rPr>
        <w:t>物业服务企业信用信息包括：</w:t>
      </w:r>
    </w:p>
    <w:p>
      <w:pPr>
        <w:widowControl/>
        <w:shd w:val="clear" w:color="auto" w:fill="FFFFFF"/>
        <w:ind w:firstLine="645"/>
        <w:jc w:val="left"/>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（一）基础信息：反映物业服务企业基本状况的信息，主要包括企业注册信息、从业人员信息、经营业绩信息、合同履约信息等。</w:t>
      </w:r>
    </w:p>
    <w:p>
      <w:pPr>
        <w:widowControl/>
        <w:shd w:val="clear" w:color="auto" w:fill="FFFFFF"/>
        <w:ind w:firstLine="645"/>
        <w:jc w:val="left"/>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（二）良好信息：物业服务企业诚信经营，积极提升服务水平，获得各级党委、政府以及其他国家机关、群团组织的表彰奖励等信息。</w:t>
      </w:r>
    </w:p>
    <w:p>
      <w:pPr>
        <w:keepNext w:val="0"/>
        <w:keepLines w:val="0"/>
        <w:pageBreakBefore w:val="0"/>
        <w:widowControl w:val="0"/>
        <w:shd w:val="clear" w:color="auto" w:fill="FFFFFF"/>
        <w:kinsoku/>
        <w:wordWrap/>
        <w:overflowPunct/>
        <w:topLinePunct w:val="0"/>
        <w:autoSpaceDE/>
        <w:autoSpaceDN/>
        <w:bidi w:val="0"/>
        <w:adjustRightInd/>
        <w:snapToGrid/>
        <w:jc w:val="left"/>
        <w:textAlignment w:val="auto"/>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　　（三）不良信息：物业服务企业在从事物业服务活动中违反法律、法规、规章等规定，对其信用状况构成负面影响的信息。</w:t>
      </w:r>
    </w:p>
    <w:p>
      <w:pPr>
        <w:keepNext w:val="0"/>
        <w:keepLines w:val="0"/>
        <w:pageBreakBefore w:val="0"/>
        <w:widowControl w:val="0"/>
        <w:shd w:val="clear" w:color="auto" w:fill="FFFFFF"/>
        <w:kinsoku/>
        <w:wordWrap/>
        <w:overflowPunct/>
        <w:topLinePunct w:val="0"/>
        <w:autoSpaceDE/>
        <w:autoSpaceDN/>
        <w:bidi w:val="0"/>
        <w:adjustRightInd/>
        <w:snapToGrid/>
        <w:jc w:val="left"/>
        <w:textAlignment w:val="auto"/>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　</w:t>
      </w:r>
      <w:r>
        <w:rPr>
          <w:rFonts w:hint="eastAsia" w:ascii="仿宋_GB2312" w:hAnsi="黑体" w:eastAsia="仿宋_GB2312" w:cs="宋体"/>
          <w:color w:val="auto"/>
          <w:kern w:val="0"/>
          <w:sz w:val="32"/>
          <w:szCs w:val="32"/>
        </w:rPr>
        <w:t>　五、</w:t>
      </w:r>
      <w:r>
        <w:rPr>
          <w:rFonts w:hint="eastAsia" w:ascii="仿宋_GB2312" w:hAnsi="微软雅黑" w:eastAsia="仿宋_GB2312" w:cs="宋体"/>
          <w:color w:val="auto"/>
          <w:kern w:val="0"/>
          <w:sz w:val="32"/>
          <w:szCs w:val="32"/>
        </w:rPr>
        <w:t>信用信息的采集应当遵循合法、安全、及时、准确的原则，不得侵犯国家秘密、商业秘密和个人隐私。采集渠道包括企业自行申报、建设局主动采集、属地镇街提供和社会提供等。</w:t>
      </w:r>
    </w:p>
    <w:p>
      <w:pPr>
        <w:widowControl/>
        <w:shd w:val="clear" w:color="auto" w:fill="FFFFFF"/>
        <w:ind w:firstLine="640"/>
        <w:jc w:val="left"/>
        <w:rPr>
          <w:rFonts w:hint="eastAsia" w:ascii="仿宋_GB2312" w:hAnsi="微软雅黑" w:eastAsia="仿宋_GB2312" w:cs="宋体"/>
          <w:color w:val="auto"/>
          <w:kern w:val="0"/>
          <w:sz w:val="32"/>
          <w:szCs w:val="32"/>
        </w:rPr>
      </w:pPr>
      <w:r>
        <w:rPr>
          <w:rFonts w:hint="eastAsia" w:ascii="仿宋_GB2312" w:hAnsi="黑体" w:eastAsia="仿宋_GB2312" w:cs="宋体"/>
          <w:color w:val="auto"/>
          <w:kern w:val="0"/>
          <w:sz w:val="32"/>
          <w:szCs w:val="32"/>
        </w:rPr>
        <w:t>六、</w:t>
      </w:r>
      <w:r>
        <w:rPr>
          <w:rFonts w:hint="eastAsia" w:ascii="仿宋_GB2312" w:hAnsi="微软雅黑" w:eastAsia="仿宋_GB2312" w:cs="宋体"/>
          <w:color w:val="auto"/>
          <w:kern w:val="0"/>
          <w:sz w:val="32"/>
          <w:szCs w:val="32"/>
        </w:rPr>
        <w:t>在本市行政区域内开展物业服务的物业服务企业信用信息的采集、认定、</w:t>
      </w:r>
      <w:r>
        <w:rPr>
          <w:rFonts w:hint="eastAsia" w:ascii="仿宋_GB2312" w:hAnsi="微软雅黑" w:eastAsia="仿宋_GB2312" w:cs="宋体"/>
          <w:color w:val="auto"/>
          <w:kern w:val="0"/>
          <w:sz w:val="32"/>
          <w:szCs w:val="32"/>
          <w:lang w:eastAsia="zh-CN"/>
        </w:rPr>
        <w:t>公开</w:t>
      </w:r>
      <w:r>
        <w:rPr>
          <w:rFonts w:hint="eastAsia" w:ascii="仿宋_GB2312" w:hAnsi="微软雅黑" w:eastAsia="仿宋_GB2312" w:cs="宋体"/>
          <w:color w:val="auto"/>
          <w:kern w:val="0"/>
          <w:sz w:val="32"/>
          <w:szCs w:val="32"/>
        </w:rPr>
        <w:t>、评分，由建设局负责。建设局应当切实履行信用信息日常管理职责，及时、准确、完整地采集企业信用信息，严格按照</w:t>
      </w:r>
      <w:r>
        <w:rPr>
          <w:rFonts w:hint="eastAsia" w:ascii="仿宋_GB2312" w:hAnsi="微软雅黑" w:eastAsia="仿宋_GB2312" w:cs="宋体"/>
          <w:color w:val="auto"/>
          <w:kern w:val="0"/>
          <w:sz w:val="32"/>
          <w:szCs w:val="32"/>
          <w:lang w:eastAsia="zh-CN"/>
        </w:rPr>
        <w:t>《</w:t>
      </w:r>
      <w:r>
        <w:rPr>
          <w:rFonts w:hint="eastAsia" w:ascii="仿宋_GB2312" w:hAnsi="微软雅黑" w:eastAsia="仿宋_GB2312" w:cs="宋体"/>
          <w:color w:val="auto"/>
          <w:kern w:val="0"/>
          <w:sz w:val="32"/>
          <w:szCs w:val="32"/>
        </w:rPr>
        <w:t>物业服务企业</w:t>
      </w:r>
      <w:r>
        <w:rPr>
          <w:rFonts w:hint="eastAsia" w:ascii="仿宋_GB2312" w:hAnsi="微软雅黑" w:eastAsia="仿宋_GB2312" w:cs="宋体"/>
          <w:color w:val="auto"/>
          <w:kern w:val="0"/>
          <w:sz w:val="32"/>
          <w:szCs w:val="32"/>
          <w:lang w:eastAsia="zh-CN"/>
        </w:rPr>
        <w:t>信用</w:t>
      </w:r>
      <w:r>
        <w:rPr>
          <w:rFonts w:hint="eastAsia" w:ascii="仿宋_GB2312" w:hAnsi="微软雅黑" w:eastAsia="仿宋_GB2312" w:cs="宋体"/>
          <w:color w:val="auto"/>
          <w:kern w:val="0"/>
          <w:sz w:val="32"/>
          <w:szCs w:val="32"/>
        </w:rPr>
        <w:t>信息评分</w:t>
      </w:r>
      <w:r>
        <w:rPr>
          <w:rFonts w:hint="eastAsia" w:ascii="仿宋_GB2312" w:hAnsi="微软雅黑" w:eastAsia="仿宋_GB2312" w:cs="宋体"/>
          <w:color w:val="auto"/>
          <w:kern w:val="0"/>
          <w:sz w:val="32"/>
          <w:szCs w:val="32"/>
          <w:lang w:eastAsia="zh-CN"/>
        </w:rPr>
        <w:t>标准》</w:t>
      </w:r>
      <w:r>
        <w:rPr>
          <w:rFonts w:hint="eastAsia" w:ascii="仿宋_GB2312" w:hAnsi="微软雅黑" w:eastAsia="仿宋_GB2312" w:cs="宋体"/>
          <w:color w:val="auto"/>
          <w:kern w:val="0"/>
          <w:sz w:val="32"/>
          <w:szCs w:val="32"/>
        </w:rPr>
        <w:t>（</w:t>
      </w:r>
      <w:r>
        <w:rPr>
          <w:rFonts w:hint="eastAsia" w:ascii="仿宋_GB2312" w:hAnsi="微软雅黑" w:eastAsia="仿宋_GB2312" w:cs="宋体"/>
          <w:color w:val="auto"/>
          <w:kern w:val="0"/>
          <w:sz w:val="32"/>
          <w:szCs w:val="32"/>
          <w:lang w:eastAsia="zh-CN"/>
        </w:rPr>
        <w:t>以下简称：《标准》</w:t>
      </w:r>
      <w:r>
        <w:rPr>
          <w:rFonts w:hint="eastAsia" w:ascii="仿宋_GB2312" w:hAnsi="微软雅黑" w:eastAsia="仿宋_GB2312" w:cs="宋体"/>
          <w:color w:val="auto"/>
          <w:kern w:val="0"/>
          <w:sz w:val="32"/>
          <w:szCs w:val="32"/>
        </w:rPr>
        <w:t>）对信息进行认定和评分。</w:t>
      </w:r>
    </w:p>
    <w:p>
      <w:pPr>
        <w:widowControl/>
        <w:shd w:val="clear" w:color="auto" w:fill="FFFFFF"/>
        <w:ind w:firstLine="640"/>
        <w:jc w:val="left"/>
        <w:rPr>
          <w:rFonts w:hint="eastAsia" w:ascii="仿宋_GB2312" w:hAnsi="微软雅黑" w:eastAsia="仿宋_GB2312" w:cs="宋体"/>
          <w:color w:val="auto"/>
          <w:kern w:val="0"/>
          <w:sz w:val="32"/>
          <w:szCs w:val="32"/>
          <w:lang w:eastAsia="zh-CN"/>
        </w:rPr>
      </w:pPr>
      <w:r>
        <w:rPr>
          <w:rFonts w:hint="eastAsia" w:ascii="仿宋_GB2312" w:hAnsi="微软雅黑" w:eastAsia="仿宋_GB2312" w:cs="宋体"/>
          <w:color w:val="auto"/>
          <w:kern w:val="0"/>
          <w:sz w:val="32"/>
          <w:szCs w:val="32"/>
          <w:lang w:eastAsia="zh-CN"/>
        </w:rPr>
        <w:t>《标准》由</w:t>
      </w:r>
      <w:r>
        <w:rPr>
          <w:rFonts w:hint="eastAsia" w:ascii="仿宋_GB2312" w:hAnsi="微软雅黑" w:eastAsia="仿宋_GB2312" w:cs="宋体"/>
          <w:color w:val="auto"/>
          <w:kern w:val="0"/>
          <w:sz w:val="32"/>
          <w:szCs w:val="32"/>
        </w:rPr>
        <w:t>建设</w:t>
      </w:r>
      <w:r>
        <w:rPr>
          <w:rFonts w:hint="eastAsia" w:ascii="仿宋_GB2312" w:hAnsi="微软雅黑" w:eastAsia="仿宋_GB2312" w:cs="宋体"/>
          <w:color w:val="auto"/>
          <w:kern w:val="0"/>
          <w:sz w:val="32"/>
          <w:szCs w:val="32"/>
          <w:lang w:eastAsia="zh-CN"/>
        </w:rPr>
        <w:t>局根据实际情况不定期予以调整并发布，调整周期不少于一年。</w:t>
      </w:r>
    </w:p>
    <w:p>
      <w:pPr>
        <w:widowControl/>
        <w:shd w:val="clear" w:color="auto" w:fill="FFFFFF"/>
        <w:ind w:firstLine="630"/>
        <w:jc w:val="left"/>
        <w:rPr>
          <w:rFonts w:hint="eastAsia" w:ascii="仿宋_GB2312" w:hAnsi="微软雅黑" w:eastAsia="仿宋_GB2312" w:cs="宋体"/>
          <w:color w:val="auto"/>
          <w:kern w:val="0"/>
          <w:sz w:val="32"/>
          <w:szCs w:val="32"/>
        </w:rPr>
      </w:pPr>
      <w:r>
        <w:rPr>
          <w:rFonts w:hint="eastAsia" w:ascii="仿宋_GB2312" w:hAnsi="黑体" w:eastAsia="仿宋_GB2312" w:cs="宋体"/>
          <w:color w:val="auto"/>
          <w:kern w:val="0"/>
          <w:sz w:val="32"/>
          <w:szCs w:val="32"/>
        </w:rPr>
        <w:t>七、</w:t>
      </w:r>
      <w:r>
        <w:rPr>
          <w:rFonts w:hint="eastAsia" w:ascii="仿宋_GB2312" w:hAnsi="微软雅黑" w:eastAsia="仿宋_GB2312" w:cs="宋体"/>
          <w:color w:val="auto"/>
          <w:kern w:val="0"/>
          <w:sz w:val="32"/>
          <w:szCs w:val="32"/>
        </w:rPr>
        <w:t>物业服务企业可以通过物业信用平台填报基础信息、良好信息、不良信息并上传相关证明材料，建设局应当在15日内对填报的信息进行认定，并按照</w:t>
      </w:r>
      <w:r>
        <w:rPr>
          <w:rFonts w:hint="eastAsia" w:ascii="仿宋_GB2312" w:hAnsi="微软雅黑" w:eastAsia="仿宋_GB2312" w:cs="宋体"/>
          <w:color w:val="auto"/>
          <w:kern w:val="0"/>
          <w:sz w:val="32"/>
          <w:szCs w:val="32"/>
          <w:lang w:eastAsia="zh-CN"/>
        </w:rPr>
        <w:t>《</w:t>
      </w:r>
      <w:r>
        <w:rPr>
          <w:rFonts w:hint="eastAsia" w:ascii="仿宋_GB2312" w:hAnsi="微软雅黑" w:eastAsia="仿宋_GB2312" w:cs="宋体"/>
          <w:color w:val="auto"/>
          <w:kern w:val="0"/>
          <w:sz w:val="32"/>
          <w:szCs w:val="32"/>
        </w:rPr>
        <w:t>标准</w:t>
      </w:r>
      <w:r>
        <w:rPr>
          <w:rFonts w:hint="eastAsia" w:ascii="仿宋_GB2312" w:hAnsi="微软雅黑" w:eastAsia="仿宋_GB2312" w:cs="宋体"/>
          <w:color w:val="auto"/>
          <w:kern w:val="0"/>
          <w:sz w:val="32"/>
          <w:szCs w:val="32"/>
          <w:lang w:eastAsia="zh-CN"/>
        </w:rPr>
        <w:t>》</w:t>
      </w:r>
      <w:r>
        <w:rPr>
          <w:rFonts w:hint="eastAsia" w:ascii="仿宋_GB2312" w:hAnsi="微软雅黑" w:eastAsia="仿宋_GB2312" w:cs="宋体"/>
          <w:color w:val="auto"/>
          <w:kern w:val="0"/>
          <w:sz w:val="32"/>
          <w:szCs w:val="32"/>
        </w:rPr>
        <w:t>进行评分。建设局通过数据共享可以获取的基础信息，物业服务企业无需填报。</w:t>
      </w:r>
    </w:p>
    <w:p>
      <w:pPr>
        <w:widowControl/>
        <w:shd w:val="clear" w:color="auto" w:fill="FFFFFF"/>
        <w:ind w:firstLine="630"/>
        <w:jc w:val="left"/>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物业服务企业信用信息自认定之日起向社会</w:t>
      </w:r>
      <w:r>
        <w:rPr>
          <w:rFonts w:hint="eastAsia" w:ascii="仿宋_GB2312" w:hAnsi="微软雅黑" w:eastAsia="仿宋_GB2312" w:cs="宋体"/>
          <w:color w:val="auto"/>
          <w:kern w:val="0"/>
          <w:sz w:val="32"/>
          <w:szCs w:val="32"/>
          <w:lang w:eastAsia="zh-CN"/>
        </w:rPr>
        <w:t>公开</w:t>
      </w:r>
      <w:r>
        <w:rPr>
          <w:rFonts w:hint="eastAsia" w:ascii="仿宋_GB2312" w:hAnsi="微软雅黑" w:eastAsia="仿宋_GB2312" w:cs="宋体"/>
          <w:color w:val="auto"/>
          <w:kern w:val="0"/>
          <w:sz w:val="32"/>
          <w:szCs w:val="32"/>
        </w:rPr>
        <w:t xml:space="preserve">。不良信息的保存和发布期限为五年，自不良信息认定之日起计算。 </w:t>
      </w:r>
    </w:p>
    <w:p>
      <w:pPr>
        <w:keepNext w:val="0"/>
        <w:keepLines w:val="0"/>
        <w:pageBreakBefore w:val="0"/>
        <w:widowControl w:val="0"/>
        <w:shd w:val="clear" w:color="auto" w:fill="FFFFFF"/>
        <w:kinsoku/>
        <w:wordWrap/>
        <w:overflowPunct/>
        <w:topLinePunct w:val="0"/>
        <w:autoSpaceDE/>
        <w:autoSpaceDN/>
        <w:bidi w:val="0"/>
        <w:adjustRightInd/>
        <w:snapToGrid/>
        <w:ind w:firstLine="630"/>
        <w:jc w:val="left"/>
        <w:textAlignment w:val="auto"/>
        <w:rPr>
          <w:rFonts w:hint="eastAsia" w:ascii="仿宋_GB2312" w:hAnsi="微软雅黑" w:eastAsia="仿宋_GB2312" w:cs="宋体"/>
          <w:color w:val="auto"/>
          <w:kern w:val="0"/>
          <w:sz w:val="32"/>
          <w:szCs w:val="32"/>
        </w:rPr>
      </w:pPr>
      <w:r>
        <w:rPr>
          <w:rFonts w:hint="eastAsia" w:ascii="仿宋_GB2312" w:hAnsi="黑体" w:eastAsia="仿宋_GB2312" w:cs="宋体"/>
          <w:color w:val="auto"/>
          <w:kern w:val="0"/>
          <w:sz w:val="32"/>
          <w:szCs w:val="32"/>
          <w:lang w:eastAsia="zh-CN"/>
        </w:rPr>
        <w:t>八</w:t>
      </w:r>
      <w:r>
        <w:rPr>
          <w:rFonts w:hint="eastAsia" w:ascii="仿宋_GB2312" w:hAnsi="黑体" w:eastAsia="仿宋_GB2312" w:cs="宋体"/>
          <w:color w:val="auto"/>
          <w:kern w:val="0"/>
          <w:sz w:val="32"/>
          <w:szCs w:val="32"/>
        </w:rPr>
        <w:t>、</w:t>
      </w:r>
      <w:r>
        <w:rPr>
          <w:rFonts w:hint="eastAsia" w:ascii="仿宋_GB2312" w:hAnsi="微软雅黑" w:eastAsia="仿宋_GB2312" w:cs="宋体"/>
          <w:color w:val="auto"/>
          <w:kern w:val="0"/>
          <w:sz w:val="32"/>
          <w:szCs w:val="32"/>
        </w:rPr>
        <w:t>因企业实际情况发生变化</w:t>
      </w:r>
      <w:r>
        <w:rPr>
          <w:rFonts w:hint="eastAsia" w:ascii="仿宋_GB2312" w:hAnsi="微软雅黑" w:eastAsia="仿宋_GB2312" w:cs="宋体"/>
          <w:color w:val="auto"/>
          <w:kern w:val="0"/>
          <w:sz w:val="32"/>
          <w:szCs w:val="32"/>
          <w:lang w:eastAsia="zh-CN"/>
        </w:rPr>
        <w:t>或者</w:t>
      </w:r>
      <w:r>
        <w:rPr>
          <w:rFonts w:hint="eastAsia" w:ascii="仿宋_GB2312" w:hAnsi="微软雅黑" w:eastAsia="仿宋_GB2312" w:cs="宋体"/>
          <w:color w:val="auto"/>
          <w:kern w:val="0"/>
          <w:sz w:val="32"/>
          <w:szCs w:val="32"/>
        </w:rPr>
        <w:t>认定良好信息、不良信息所依据的行政决定、判决、裁定等被撤销或者变更等情形导致信用信息发生变化的，物业服务企业应当</w:t>
      </w:r>
      <w:r>
        <w:rPr>
          <w:rFonts w:hint="eastAsia" w:ascii="仿宋_GB2312" w:hAnsi="微软雅黑" w:eastAsia="仿宋_GB2312" w:cs="宋体"/>
          <w:color w:val="auto"/>
          <w:kern w:val="0"/>
          <w:sz w:val="32"/>
          <w:szCs w:val="32"/>
          <w:lang w:eastAsia="zh-CN"/>
        </w:rPr>
        <w:t>自信息发生变化之日起</w:t>
      </w:r>
      <w:r>
        <w:rPr>
          <w:rFonts w:hint="eastAsia" w:ascii="仿宋_GB2312" w:hAnsi="微软雅黑" w:eastAsia="仿宋_GB2312" w:cs="宋体"/>
          <w:color w:val="auto"/>
          <w:kern w:val="0"/>
          <w:sz w:val="32"/>
          <w:szCs w:val="32"/>
          <w:lang w:val="en-US" w:eastAsia="zh-CN"/>
        </w:rPr>
        <w:t>7日内</w:t>
      </w:r>
      <w:r>
        <w:rPr>
          <w:rFonts w:hint="eastAsia" w:ascii="仿宋_GB2312" w:hAnsi="微软雅黑" w:eastAsia="仿宋_GB2312" w:cs="宋体"/>
          <w:color w:val="auto"/>
          <w:kern w:val="0"/>
          <w:sz w:val="32"/>
          <w:szCs w:val="32"/>
          <w:lang w:eastAsia="zh-CN"/>
        </w:rPr>
        <w:t>，</w:t>
      </w:r>
      <w:r>
        <w:rPr>
          <w:rFonts w:hint="eastAsia" w:ascii="仿宋_GB2312" w:hAnsi="微软雅黑" w:eastAsia="仿宋_GB2312" w:cs="宋体"/>
          <w:color w:val="auto"/>
          <w:kern w:val="0"/>
          <w:sz w:val="32"/>
          <w:szCs w:val="32"/>
        </w:rPr>
        <w:t>在物业信用平台上申请变更并上传相关证明材料。建设局应当在15日内进行认定，并按照</w:t>
      </w:r>
      <w:r>
        <w:rPr>
          <w:rFonts w:hint="eastAsia" w:ascii="仿宋_GB2312" w:hAnsi="微软雅黑" w:eastAsia="仿宋_GB2312" w:cs="宋体"/>
          <w:color w:val="auto"/>
          <w:kern w:val="0"/>
          <w:sz w:val="32"/>
          <w:szCs w:val="32"/>
          <w:lang w:eastAsia="zh-CN"/>
        </w:rPr>
        <w:t>《</w:t>
      </w:r>
      <w:r>
        <w:rPr>
          <w:rFonts w:hint="eastAsia" w:ascii="仿宋_GB2312" w:hAnsi="微软雅黑" w:eastAsia="仿宋_GB2312" w:cs="宋体"/>
          <w:color w:val="auto"/>
          <w:kern w:val="0"/>
          <w:sz w:val="32"/>
          <w:szCs w:val="32"/>
        </w:rPr>
        <w:t>标准</w:t>
      </w:r>
      <w:r>
        <w:rPr>
          <w:rFonts w:hint="eastAsia" w:ascii="仿宋_GB2312" w:hAnsi="微软雅黑" w:eastAsia="仿宋_GB2312" w:cs="宋体"/>
          <w:color w:val="auto"/>
          <w:kern w:val="0"/>
          <w:sz w:val="32"/>
          <w:szCs w:val="32"/>
          <w:lang w:eastAsia="zh-CN"/>
        </w:rPr>
        <w:t>》</w:t>
      </w:r>
      <w:r>
        <w:rPr>
          <w:rFonts w:hint="eastAsia" w:ascii="仿宋_GB2312" w:hAnsi="微软雅黑" w:eastAsia="仿宋_GB2312" w:cs="宋体"/>
          <w:color w:val="auto"/>
          <w:kern w:val="0"/>
          <w:sz w:val="32"/>
          <w:szCs w:val="32"/>
        </w:rPr>
        <w:t>调整评分。</w:t>
      </w:r>
    </w:p>
    <w:p>
      <w:pPr>
        <w:keepNext w:val="0"/>
        <w:keepLines w:val="0"/>
        <w:pageBreakBefore w:val="0"/>
        <w:widowControl w:val="0"/>
        <w:shd w:val="clear" w:color="auto" w:fill="FFFFFF"/>
        <w:kinsoku/>
        <w:wordWrap/>
        <w:overflowPunct/>
        <w:topLinePunct w:val="0"/>
        <w:autoSpaceDE/>
        <w:autoSpaceDN/>
        <w:bidi w:val="0"/>
        <w:adjustRightInd/>
        <w:snapToGrid/>
        <w:jc w:val="left"/>
        <w:textAlignment w:val="auto"/>
        <w:rPr>
          <w:rFonts w:hint="eastAsia" w:ascii="仿宋_GB2312" w:hAnsi="微软雅黑" w:eastAsia="仿宋_GB2312" w:cs="宋体"/>
          <w:color w:val="auto"/>
          <w:kern w:val="0"/>
          <w:sz w:val="32"/>
          <w:szCs w:val="32"/>
        </w:rPr>
      </w:pPr>
      <w:r>
        <w:rPr>
          <w:rFonts w:hint="eastAsia" w:ascii="仿宋_GB2312" w:hAnsi="黑体" w:eastAsia="仿宋_GB2312" w:cs="宋体"/>
          <w:color w:val="auto"/>
          <w:kern w:val="0"/>
          <w:sz w:val="32"/>
          <w:szCs w:val="32"/>
        </w:rPr>
        <w:t>　　</w:t>
      </w:r>
      <w:r>
        <w:rPr>
          <w:rFonts w:hint="eastAsia" w:ascii="仿宋_GB2312" w:hAnsi="黑体" w:eastAsia="仿宋_GB2312" w:cs="宋体"/>
          <w:color w:val="auto"/>
          <w:kern w:val="0"/>
          <w:sz w:val="32"/>
          <w:szCs w:val="32"/>
          <w:lang w:eastAsia="zh-CN"/>
        </w:rPr>
        <w:t>九</w:t>
      </w:r>
      <w:r>
        <w:rPr>
          <w:rFonts w:hint="eastAsia" w:ascii="仿宋_GB2312" w:hAnsi="黑体" w:eastAsia="仿宋_GB2312" w:cs="宋体"/>
          <w:color w:val="auto"/>
          <w:kern w:val="0"/>
          <w:sz w:val="32"/>
          <w:szCs w:val="32"/>
        </w:rPr>
        <w:t>、</w:t>
      </w:r>
      <w:r>
        <w:rPr>
          <w:rFonts w:hint="eastAsia" w:ascii="仿宋_GB2312" w:hAnsi="微软雅黑" w:eastAsia="仿宋_GB2312" w:cs="宋体"/>
          <w:color w:val="auto"/>
          <w:kern w:val="0"/>
          <w:sz w:val="32"/>
          <w:szCs w:val="32"/>
        </w:rPr>
        <w:t>建设局应当加强与公共信用管理、公安、综合执法、市场监管、发改、税务、人社、安全生产、质量技术监督等部门</w:t>
      </w:r>
      <w:r>
        <w:rPr>
          <w:rFonts w:hint="eastAsia" w:ascii="仿宋_GB2312" w:hAnsi="微软雅黑" w:eastAsia="仿宋_GB2312" w:cs="宋体"/>
          <w:color w:val="auto"/>
          <w:kern w:val="0"/>
          <w:sz w:val="32"/>
          <w:szCs w:val="32"/>
          <w:lang w:eastAsia="zh-CN"/>
        </w:rPr>
        <w:t>和</w:t>
      </w:r>
      <w:r>
        <w:rPr>
          <w:rFonts w:hint="eastAsia" w:ascii="仿宋_GB2312" w:hAnsi="微软雅黑" w:eastAsia="仿宋_GB2312" w:cs="宋体"/>
          <w:color w:val="auto"/>
          <w:kern w:val="0"/>
          <w:sz w:val="32"/>
          <w:szCs w:val="32"/>
        </w:rPr>
        <w:t>法院</w:t>
      </w:r>
      <w:r>
        <w:rPr>
          <w:rFonts w:hint="eastAsia" w:ascii="仿宋_GB2312" w:hAnsi="微软雅黑" w:eastAsia="仿宋_GB2312" w:cs="宋体"/>
          <w:color w:val="auto"/>
          <w:kern w:val="0"/>
          <w:sz w:val="32"/>
          <w:szCs w:val="32"/>
          <w:lang w:eastAsia="zh-CN"/>
        </w:rPr>
        <w:t>、仲裁机构</w:t>
      </w:r>
      <w:r>
        <w:rPr>
          <w:rFonts w:hint="eastAsia" w:ascii="仿宋_GB2312" w:hAnsi="微软雅黑" w:eastAsia="仿宋_GB2312" w:cs="宋体"/>
          <w:color w:val="auto"/>
          <w:kern w:val="0"/>
          <w:sz w:val="32"/>
          <w:szCs w:val="32"/>
        </w:rPr>
        <w:t>以及</w:t>
      </w:r>
      <w:r>
        <w:rPr>
          <w:rFonts w:hint="eastAsia" w:ascii="仿宋_GB2312" w:hAnsi="微软雅黑" w:eastAsia="仿宋_GB2312" w:cs="宋体"/>
          <w:color w:val="auto"/>
          <w:kern w:val="0"/>
          <w:sz w:val="32"/>
          <w:szCs w:val="32"/>
          <w:lang w:eastAsia="zh-CN"/>
        </w:rPr>
        <w:t>各镇人民政府（街道办事处）</w:t>
      </w:r>
      <w:r>
        <w:rPr>
          <w:rFonts w:hint="eastAsia" w:ascii="仿宋_GB2312" w:hAnsi="微软雅黑" w:eastAsia="仿宋_GB2312" w:cs="宋体"/>
          <w:color w:val="auto"/>
          <w:kern w:val="0"/>
          <w:sz w:val="32"/>
          <w:szCs w:val="32"/>
        </w:rPr>
        <w:t>、居（村）民委员会的联动，及时共享物业服务企业信用信息，实施守信联合激励和失信联合惩戒。</w:t>
      </w:r>
    </w:p>
    <w:p>
      <w:pPr>
        <w:widowControl/>
        <w:shd w:val="clear" w:color="auto" w:fill="FFFFFF"/>
        <w:jc w:val="left"/>
        <w:rPr>
          <w:rFonts w:hint="eastAsia" w:ascii="仿宋_GB2312" w:hAnsi="微软雅黑" w:eastAsia="仿宋_GB2312" w:cs="宋体"/>
          <w:color w:val="auto"/>
          <w:kern w:val="0"/>
          <w:sz w:val="32"/>
          <w:szCs w:val="32"/>
        </w:rPr>
      </w:pPr>
      <w:r>
        <w:rPr>
          <w:rFonts w:hint="eastAsia" w:ascii="仿宋_GB2312" w:hAnsi="黑体" w:eastAsia="仿宋_GB2312" w:cs="宋体"/>
          <w:color w:val="auto"/>
          <w:kern w:val="0"/>
          <w:sz w:val="32"/>
          <w:szCs w:val="32"/>
        </w:rPr>
        <w:t>　　十、</w:t>
      </w:r>
      <w:r>
        <w:rPr>
          <w:rFonts w:hint="eastAsia" w:ascii="仿宋_GB2312" w:hAnsi="微软雅黑" w:eastAsia="仿宋_GB2312" w:cs="宋体"/>
          <w:color w:val="auto"/>
          <w:kern w:val="0"/>
          <w:sz w:val="32"/>
          <w:szCs w:val="32"/>
        </w:rPr>
        <w:t>建设局每</w:t>
      </w:r>
      <w:r>
        <w:rPr>
          <w:rFonts w:hint="eastAsia" w:ascii="仿宋_GB2312" w:hAnsi="微软雅黑" w:eastAsia="仿宋_GB2312" w:cs="宋体"/>
          <w:color w:val="auto"/>
          <w:kern w:val="0"/>
          <w:sz w:val="32"/>
          <w:szCs w:val="32"/>
          <w:lang w:eastAsia="zh-CN"/>
        </w:rPr>
        <w:t>半年对全市</w:t>
      </w:r>
      <w:r>
        <w:rPr>
          <w:rFonts w:hint="eastAsia" w:ascii="仿宋_GB2312" w:hAnsi="微软雅黑" w:eastAsia="仿宋_GB2312" w:cs="宋体"/>
          <w:color w:val="auto"/>
          <w:kern w:val="0"/>
          <w:sz w:val="32"/>
          <w:szCs w:val="32"/>
        </w:rPr>
        <w:t>物业服务企业信用等级进行评定，并在</w:t>
      </w:r>
      <w:r>
        <w:rPr>
          <w:rFonts w:hint="eastAsia" w:ascii="仿宋_GB2312" w:hAnsi="微软雅黑" w:eastAsia="仿宋_GB2312" w:cs="宋体"/>
          <w:color w:val="auto"/>
          <w:kern w:val="0"/>
          <w:sz w:val="32"/>
          <w:szCs w:val="32"/>
          <w:lang w:eastAsia="zh-CN"/>
        </w:rPr>
        <w:t>每年</w:t>
      </w:r>
      <w:r>
        <w:rPr>
          <w:rFonts w:hint="eastAsia" w:ascii="仿宋_GB2312" w:hAnsi="微软雅黑" w:eastAsia="仿宋_GB2312" w:cs="宋体"/>
          <w:color w:val="auto"/>
          <w:kern w:val="0"/>
          <w:sz w:val="32"/>
          <w:szCs w:val="32"/>
          <w:lang w:val="en-US" w:eastAsia="zh-CN"/>
        </w:rPr>
        <w:t>1月1日、7月1日</w:t>
      </w:r>
      <w:r>
        <w:rPr>
          <w:rFonts w:hint="eastAsia" w:ascii="仿宋_GB2312" w:hAnsi="微软雅黑" w:eastAsia="仿宋_GB2312" w:cs="宋体"/>
          <w:color w:val="auto"/>
          <w:kern w:val="0"/>
          <w:sz w:val="32"/>
          <w:szCs w:val="32"/>
        </w:rPr>
        <w:t>向社会公开，同时抄送市信用办。</w:t>
      </w:r>
    </w:p>
    <w:p>
      <w:pPr>
        <w:widowControl/>
        <w:shd w:val="clear" w:color="auto" w:fill="FFFFFF"/>
        <w:jc w:val="left"/>
        <w:rPr>
          <w:rFonts w:hint="eastAsia" w:ascii="仿宋_GB2312" w:hAnsi="微软雅黑" w:eastAsia="仿宋_GB2312" w:cs="宋体"/>
          <w:color w:val="auto"/>
          <w:kern w:val="0"/>
          <w:sz w:val="32"/>
          <w:szCs w:val="32"/>
          <w:lang w:eastAsia="zh-CN"/>
        </w:rPr>
      </w:pPr>
      <w:r>
        <w:rPr>
          <w:rFonts w:hint="eastAsia" w:ascii="仿宋_GB2312" w:hAnsi="微软雅黑" w:eastAsia="仿宋_GB2312" w:cs="宋体"/>
          <w:color w:val="auto"/>
          <w:kern w:val="0"/>
          <w:sz w:val="32"/>
          <w:szCs w:val="32"/>
        </w:rPr>
        <w:t>　　物业服务企业未在我市从事物业服务活动</w:t>
      </w:r>
      <w:r>
        <w:rPr>
          <w:rFonts w:hint="eastAsia" w:ascii="仿宋_GB2312" w:hAnsi="微软雅黑" w:eastAsia="仿宋_GB2312" w:cs="宋体"/>
          <w:color w:val="auto"/>
          <w:kern w:val="0"/>
          <w:sz w:val="32"/>
          <w:szCs w:val="32"/>
          <w:lang w:eastAsia="zh-CN"/>
        </w:rPr>
        <w:t>，</w:t>
      </w:r>
      <w:r>
        <w:rPr>
          <w:rFonts w:hint="eastAsia" w:ascii="仿宋_GB2312" w:hAnsi="微软雅黑" w:eastAsia="仿宋_GB2312" w:cs="宋体"/>
          <w:color w:val="auto"/>
          <w:kern w:val="0"/>
          <w:sz w:val="32"/>
          <w:szCs w:val="32"/>
        </w:rPr>
        <w:t>或承接</w:t>
      </w:r>
      <w:r>
        <w:rPr>
          <w:rFonts w:hint="eastAsia" w:ascii="仿宋_GB2312" w:hAnsi="微软雅黑" w:eastAsia="仿宋_GB2312" w:cs="宋体"/>
          <w:color w:val="auto"/>
          <w:kern w:val="0"/>
          <w:sz w:val="32"/>
          <w:szCs w:val="32"/>
          <w:lang w:eastAsia="zh-CN"/>
        </w:rPr>
        <w:t>我市</w:t>
      </w:r>
      <w:r>
        <w:rPr>
          <w:rFonts w:hint="eastAsia" w:ascii="仿宋_GB2312" w:hAnsi="微软雅黑" w:eastAsia="仿宋_GB2312" w:cs="宋体"/>
          <w:color w:val="auto"/>
          <w:kern w:val="0"/>
          <w:sz w:val="32"/>
          <w:szCs w:val="32"/>
        </w:rPr>
        <w:t>业务不满</w:t>
      </w:r>
      <w:r>
        <w:rPr>
          <w:rFonts w:hint="eastAsia" w:ascii="仿宋_GB2312" w:hAnsi="微软雅黑" w:eastAsia="仿宋_GB2312" w:cs="宋体"/>
          <w:color w:val="auto"/>
          <w:kern w:val="0"/>
          <w:sz w:val="32"/>
          <w:szCs w:val="32"/>
          <w:lang w:eastAsia="zh-CN"/>
        </w:rPr>
        <w:t>半年</w:t>
      </w:r>
      <w:r>
        <w:rPr>
          <w:rFonts w:hint="eastAsia" w:ascii="仿宋_GB2312" w:hAnsi="微软雅黑" w:eastAsia="仿宋_GB2312" w:cs="宋体"/>
          <w:color w:val="auto"/>
          <w:kern w:val="0"/>
          <w:sz w:val="32"/>
          <w:szCs w:val="32"/>
        </w:rPr>
        <w:t>的，不做信用等级评定。</w:t>
      </w:r>
      <w:r>
        <w:rPr>
          <w:rFonts w:hint="eastAsia" w:ascii="仿宋_GB2312" w:hAnsi="微软雅黑" w:eastAsia="仿宋_GB2312" w:cs="宋体"/>
          <w:color w:val="auto"/>
          <w:kern w:val="0"/>
          <w:sz w:val="32"/>
          <w:szCs w:val="32"/>
          <w:lang w:eastAsia="zh-CN"/>
        </w:rPr>
        <w:t>物业服务企业有分支机构的，对分支机构不单独做信用等级评定。</w:t>
      </w:r>
    </w:p>
    <w:p>
      <w:pPr>
        <w:widowControl/>
        <w:shd w:val="clear" w:color="auto" w:fill="FFFFFF"/>
        <w:ind w:firstLine="640" w:firstLineChars="200"/>
        <w:jc w:val="left"/>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信用等级评定以信用等级公开之日前认定的物业服务企业信用信息作为评定依据（包含仍在有效期内的良好信息和不良信息）。</w:t>
      </w:r>
    </w:p>
    <w:p>
      <w:pPr>
        <w:widowControl/>
        <w:shd w:val="clear" w:color="auto" w:fill="FFFFFF"/>
        <w:ind w:firstLine="645"/>
        <w:jc w:val="left"/>
        <w:rPr>
          <w:rFonts w:hint="eastAsia" w:ascii="仿宋_GB2312" w:hAnsi="微软雅黑" w:eastAsia="仿宋_GB2312" w:cs="宋体"/>
          <w:color w:val="auto"/>
          <w:kern w:val="0"/>
          <w:sz w:val="32"/>
          <w:szCs w:val="32"/>
        </w:rPr>
      </w:pPr>
      <w:r>
        <w:rPr>
          <w:rFonts w:hint="eastAsia" w:ascii="仿宋_GB2312" w:hAnsi="黑体" w:eastAsia="仿宋_GB2312" w:cs="宋体"/>
          <w:color w:val="auto"/>
          <w:kern w:val="0"/>
          <w:sz w:val="32"/>
          <w:szCs w:val="32"/>
        </w:rPr>
        <w:t>十</w:t>
      </w:r>
      <w:r>
        <w:rPr>
          <w:rFonts w:hint="eastAsia" w:ascii="仿宋_GB2312" w:hAnsi="黑体" w:eastAsia="仿宋_GB2312" w:cs="宋体"/>
          <w:color w:val="auto"/>
          <w:kern w:val="0"/>
          <w:sz w:val="32"/>
          <w:szCs w:val="32"/>
          <w:lang w:eastAsia="zh-CN"/>
        </w:rPr>
        <w:t>一</w:t>
      </w:r>
      <w:r>
        <w:rPr>
          <w:rFonts w:hint="eastAsia" w:ascii="仿宋_GB2312" w:hAnsi="黑体" w:eastAsia="仿宋_GB2312" w:cs="宋体"/>
          <w:color w:val="auto"/>
          <w:kern w:val="0"/>
          <w:sz w:val="32"/>
          <w:szCs w:val="32"/>
        </w:rPr>
        <w:t>、</w:t>
      </w:r>
      <w:r>
        <w:rPr>
          <w:rFonts w:hint="eastAsia" w:ascii="仿宋_GB2312" w:hAnsi="微软雅黑" w:eastAsia="仿宋_GB2312" w:cs="宋体"/>
          <w:color w:val="auto"/>
          <w:kern w:val="0"/>
          <w:sz w:val="32"/>
          <w:szCs w:val="32"/>
        </w:rPr>
        <w:t>物业服务企业应当</w:t>
      </w:r>
      <w:r>
        <w:rPr>
          <w:rFonts w:hint="eastAsia" w:ascii="仿宋_GB2312" w:hAnsi="微软雅黑" w:eastAsia="仿宋_GB2312" w:cs="宋体"/>
          <w:color w:val="auto"/>
          <w:kern w:val="0"/>
          <w:sz w:val="32"/>
          <w:szCs w:val="32"/>
          <w:lang w:eastAsia="zh-CN"/>
        </w:rPr>
        <w:t>在每年</w:t>
      </w:r>
      <w:r>
        <w:rPr>
          <w:rFonts w:hint="eastAsia" w:ascii="仿宋_GB2312" w:hAnsi="微软雅黑" w:eastAsia="仿宋_GB2312" w:cs="宋体"/>
          <w:color w:val="auto"/>
          <w:kern w:val="0"/>
          <w:sz w:val="32"/>
          <w:szCs w:val="32"/>
          <w:lang w:val="en-US" w:eastAsia="zh-CN"/>
        </w:rPr>
        <w:t>6月15日、12月15日前</w:t>
      </w:r>
      <w:r>
        <w:rPr>
          <w:rFonts w:hint="eastAsia" w:ascii="仿宋_GB2312" w:hAnsi="微软雅黑" w:eastAsia="仿宋_GB2312" w:cs="宋体"/>
          <w:color w:val="auto"/>
          <w:kern w:val="0"/>
          <w:sz w:val="32"/>
          <w:szCs w:val="32"/>
          <w:lang w:eastAsia="zh-CN"/>
        </w:rPr>
        <w:t>完成信用</w:t>
      </w:r>
      <w:r>
        <w:rPr>
          <w:rFonts w:hint="eastAsia" w:ascii="仿宋_GB2312" w:hAnsi="微软雅黑" w:eastAsia="仿宋_GB2312" w:cs="宋体"/>
          <w:color w:val="auto"/>
          <w:kern w:val="0"/>
          <w:sz w:val="32"/>
          <w:szCs w:val="32"/>
        </w:rPr>
        <w:t>信息的填报。</w:t>
      </w:r>
    </w:p>
    <w:p>
      <w:pPr>
        <w:widowControl/>
        <w:shd w:val="clear" w:color="auto" w:fill="FFFFFF"/>
        <w:jc w:val="left"/>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　　建设局应当在</w:t>
      </w:r>
      <w:r>
        <w:rPr>
          <w:rFonts w:hint="eastAsia" w:ascii="仿宋_GB2312" w:hAnsi="微软雅黑" w:eastAsia="仿宋_GB2312" w:cs="宋体"/>
          <w:color w:val="auto"/>
          <w:kern w:val="0"/>
          <w:sz w:val="32"/>
          <w:szCs w:val="32"/>
          <w:lang w:eastAsia="zh-CN"/>
        </w:rPr>
        <w:t>每年</w:t>
      </w:r>
      <w:r>
        <w:rPr>
          <w:rFonts w:hint="eastAsia" w:ascii="仿宋_GB2312" w:hAnsi="微软雅黑" w:eastAsia="仿宋_GB2312" w:cs="宋体"/>
          <w:color w:val="auto"/>
          <w:kern w:val="0"/>
          <w:sz w:val="32"/>
          <w:szCs w:val="32"/>
          <w:lang w:val="en-US" w:eastAsia="zh-CN"/>
        </w:rPr>
        <w:t>6月30日、12月31日</w:t>
      </w:r>
      <w:r>
        <w:rPr>
          <w:rFonts w:hint="eastAsia" w:ascii="仿宋_GB2312" w:hAnsi="微软雅黑" w:eastAsia="仿宋_GB2312" w:cs="宋体"/>
          <w:color w:val="auto"/>
          <w:kern w:val="0"/>
          <w:sz w:val="32"/>
          <w:szCs w:val="32"/>
        </w:rPr>
        <w:t>前完成</w:t>
      </w:r>
      <w:r>
        <w:rPr>
          <w:rFonts w:hint="eastAsia" w:ascii="仿宋_GB2312" w:hAnsi="微软雅黑" w:eastAsia="仿宋_GB2312" w:cs="宋体"/>
          <w:color w:val="auto"/>
          <w:kern w:val="0"/>
          <w:sz w:val="32"/>
          <w:szCs w:val="32"/>
          <w:lang w:eastAsia="zh-CN"/>
        </w:rPr>
        <w:t>前半年度</w:t>
      </w:r>
      <w:r>
        <w:rPr>
          <w:rFonts w:hint="eastAsia" w:ascii="仿宋_GB2312" w:hAnsi="微软雅黑" w:eastAsia="仿宋_GB2312" w:cs="宋体"/>
          <w:color w:val="auto"/>
          <w:kern w:val="0"/>
          <w:sz w:val="32"/>
          <w:szCs w:val="32"/>
        </w:rPr>
        <w:t>物业服务企业全部信用信息的认定。</w:t>
      </w:r>
    </w:p>
    <w:p>
      <w:pPr>
        <w:widowControl/>
        <w:shd w:val="clear" w:color="auto" w:fill="FFFFFF"/>
        <w:jc w:val="left"/>
        <w:rPr>
          <w:rFonts w:hint="eastAsia" w:ascii="仿宋_GB2312" w:hAnsi="微软雅黑" w:eastAsia="仿宋_GB2312" w:cs="宋体"/>
          <w:color w:val="auto"/>
          <w:kern w:val="0"/>
          <w:sz w:val="32"/>
          <w:szCs w:val="32"/>
        </w:rPr>
      </w:pPr>
      <w:r>
        <w:rPr>
          <w:rFonts w:hint="eastAsia" w:ascii="仿宋_GB2312" w:hAnsi="黑体" w:eastAsia="仿宋_GB2312" w:cs="宋体"/>
          <w:color w:val="auto"/>
          <w:kern w:val="0"/>
          <w:sz w:val="32"/>
          <w:szCs w:val="32"/>
        </w:rPr>
        <w:t>　　十</w:t>
      </w:r>
      <w:r>
        <w:rPr>
          <w:rFonts w:hint="eastAsia" w:ascii="仿宋_GB2312" w:hAnsi="黑体" w:eastAsia="仿宋_GB2312" w:cs="宋体"/>
          <w:color w:val="auto"/>
          <w:kern w:val="0"/>
          <w:sz w:val="32"/>
          <w:szCs w:val="32"/>
          <w:lang w:eastAsia="zh-CN"/>
        </w:rPr>
        <w:t>二</w:t>
      </w:r>
      <w:r>
        <w:rPr>
          <w:rFonts w:hint="eastAsia" w:ascii="仿宋_GB2312" w:hAnsi="黑体" w:eastAsia="仿宋_GB2312" w:cs="宋体"/>
          <w:color w:val="auto"/>
          <w:kern w:val="0"/>
          <w:sz w:val="32"/>
          <w:szCs w:val="32"/>
        </w:rPr>
        <w:t>、</w:t>
      </w:r>
      <w:r>
        <w:rPr>
          <w:rFonts w:hint="eastAsia" w:ascii="仿宋_GB2312" w:hAnsi="微软雅黑" w:eastAsia="仿宋_GB2312" w:cs="宋体"/>
          <w:color w:val="auto"/>
          <w:kern w:val="0"/>
          <w:sz w:val="32"/>
          <w:szCs w:val="32"/>
        </w:rPr>
        <w:t>物业服务企业信用等级评定实行量化评分，评分规则为：物业服务企业信用综合评分=基础信息评分值+良好信息分值-不良信息分值。</w:t>
      </w:r>
    </w:p>
    <w:p>
      <w:pPr>
        <w:widowControl/>
        <w:shd w:val="clear" w:color="auto" w:fill="FFFFFF"/>
        <w:jc w:val="left"/>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　</w:t>
      </w:r>
      <w:r>
        <w:rPr>
          <w:rFonts w:hint="eastAsia" w:ascii="仿宋_GB2312" w:hAnsi="黑体" w:eastAsia="仿宋_GB2312" w:cs="宋体"/>
          <w:color w:val="auto"/>
          <w:kern w:val="0"/>
          <w:sz w:val="32"/>
          <w:szCs w:val="32"/>
        </w:rPr>
        <w:t>　十</w:t>
      </w:r>
      <w:r>
        <w:rPr>
          <w:rFonts w:hint="eastAsia" w:ascii="仿宋_GB2312" w:hAnsi="黑体" w:eastAsia="仿宋_GB2312" w:cs="宋体"/>
          <w:color w:val="auto"/>
          <w:kern w:val="0"/>
          <w:sz w:val="32"/>
          <w:szCs w:val="32"/>
          <w:lang w:eastAsia="zh-CN"/>
        </w:rPr>
        <w:t>三</w:t>
      </w:r>
      <w:r>
        <w:rPr>
          <w:rFonts w:hint="eastAsia" w:ascii="仿宋_GB2312" w:hAnsi="黑体" w:eastAsia="仿宋_GB2312" w:cs="宋体"/>
          <w:color w:val="auto"/>
          <w:kern w:val="0"/>
          <w:sz w:val="32"/>
          <w:szCs w:val="32"/>
        </w:rPr>
        <w:t>、</w:t>
      </w:r>
      <w:r>
        <w:rPr>
          <w:rFonts w:hint="eastAsia" w:ascii="仿宋_GB2312" w:hAnsi="微软雅黑" w:eastAsia="仿宋_GB2312" w:cs="宋体"/>
          <w:color w:val="auto"/>
          <w:kern w:val="0"/>
          <w:sz w:val="32"/>
          <w:szCs w:val="32"/>
        </w:rPr>
        <w:t>物业服务企业信用等级，按照企业信用综合得分由高到低，分为A、B、C、D和E五个等级。具体信用等级按照以下标准确定：</w:t>
      </w:r>
    </w:p>
    <w:p>
      <w:pPr>
        <w:keepNext w:val="0"/>
        <w:keepLines w:val="0"/>
        <w:pageBreakBefore w:val="0"/>
        <w:widowControl w:val="0"/>
        <w:shd w:val="clear" w:color="auto" w:fill="FFFFFF"/>
        <w:kinsoku/>
        <w:wordWrap/>
        <w:overflowPunct/>
        <w:topLinePunct w:val="0"/>
        <w:autoSpaceDE/>
        <w:autoSpaceDN/>
        <w:bidi w:val="0"/>
        <w:adjustRightInd/>
        <w:snapToGrid/>
        <w:ind w:firstLine="640"/>
        <w:jc w:val="left"/>
        <w:textAlignment w:val="auto"/>
        <w:rPr>
          <w:rFonts w:hint="eastAsia" w:ascii="仿宋_GB2312" w:hAnsi="微软雅黑" w:eastAsia="仿宋_GB2312" w:cs="宋体"/>
          <w:color w:val="auto"/>
          <w:kern w:val="0"/>
          <w:sz w:val="32"/>
          <w:szCs w:val="32"/>
          <w:lang w:eastAsia="zh-CN"/>
        </w:rPr>
      </w:pPr>
      <w:r>
        <w:rPr>
          <w:rFonts w:hint="eastAsia" w:ascii="仿宋_GB2312" w:hAnsi="微软雅黑" w:eastAsia="仿宋_GB2312" w:cs="宋体"/>
          <w:color w:val="auto"/>
          <w:kern w:val="0"/>
          <w:sz w:val="32"/>
          <w:szCs w:val="32"/>
        </w:rPr>
        <w:t>（一）物业服务企业信用综合得分90分（含本数）以上的，为A级物业服务企业</w:t>
      </w:r>
      <w:r>
        <w:rPr>
          <w:rFonts w:hint="eastAsia" w:ascii="仿宋_GB2312" w:hAnsi="微软雅黑" w:eastAsia="仿宋_GB2312" w:cs="宋体"/>
          <w:color w:val="auto"/>
          <w:kern w:val="0"/>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ind w:firstLine="640"/>
        <w:jc w:val="left"/>
        <w:textAlignment w:val="auto"/>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（二）物业服务企业信用综合得分80分（含本数）以上至90分（不含本数）的，为B级物业服务企业</w:t>
      </w:r>
      <w:r>
        <w:rPr>
          <w:rFonts w:hint="eastAsia" w:ascii="仿宋_GB2312" w:hAnsi="微软雅黑" w:eastAsia="仿宋_GB2312" w:cs="宋体"/>
          <w:color w:val="auto"/>
          <w:kern w:val="0"/>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jc w:val="left"/>
        <w:textAlignment w:val="auto"/>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　　（三）物业服务企业信用综合得分60分（含本数）以上至80分（不含本数）的，为C级物业服务企业</w:t>
      </w:r>
      <w:r>
        <w:rPr>
          <w:rFonts w:hint="eastAsia" w:ascii="仿宋_GB2312" w:hAnsi="微软雅黑" w:eastAsia="仿宋_GB2312" w:cs="宋体"/>
          <w:color w:val="auto"/>
          <w:kern w:val="0"/>
          <w:sz w:val="32"/>
          <w:szCs w:val="32"/>
          <w:lang w:eastAsia="zh-CN"/>
        </w:rPr>
        <w:t>；</w:t>
      </w:r>
    </w:p>
    <w:p>
      <w:pPr>
        <w:widowControl/>
        <w:shd w:val="clear" w:color="auto" w:fill="FFFFFF"/>
        <w:jc w:val="left"/>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　　（四）物业服务企业信用综合得分60分（不含本数）以下的，为D级物业服务企业</w:t>
      </w:r>
      <w:r>
        <w:rPr>
          <w:rFonts w:hint="eastAsia" w:ascii="仿宋_GB2312" w:hAnsi="微软雅黑" w:eastAsia="仿宋_GB2312" w:cs="宋体"/>
          <w:color w:val="auto"/>
          <w:kern w:val="0"/>
          <w:sz w:val="32"/>
          <w:szCs w:val="32"/>
          <w:lang w:eastAsia="zh-CN"/>
        </w:rPr>
        <w:t>；</w:t>
      </w:r>
    </w:p>
    <w:p>
      <w:pPr>
        <w:widowControl/>
        <w:shd w:val="clear" w:color="auto" w:fill="FFFFFF"/>
        <w:jc w:val="left"/>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　　（五）物业服务企业被</w:t>
      </w:r>
      <w:r>
        <w:rPr>
          <w:rFonts w:hint="eastAsia" w:ascii="仿宋_GB2312" w:hAnsi="微软雅黑" w:eastAsia="仿宋_GB2312" w:cs="宋体"/>
          <w:color w:val="auto"/>
          <w:kern w:val="0"/>
          <w:sz w:val="32"/>
          <w:szCs w:val="32"/>
          <w:lang w:eastAsia="zh-CN"/>
        </w:rPr>
        <w:t>省级部门</w:t>
      </w:r>
      <w:r>
        <w:rPr>
          <w:rFonts w:hint="eastAsia" w:ascii="仿宋_GB2312" w:hAnsi="微软雅黑" w:eastAsia="仿宋_GB2312" w:cs="宋体"/>
          <w:color w:val="auto"/>
          <w:kern w:val="0"/>
          <w:sz w:val="32"/>
          <w:szCs w:val="32"/>
        </w:rPr>
        <w:t>列入严重失信名单的，为E级物业服务企业。</w:t>
      </w:r>
    </w:p>
    <w:p>
      <w:pPr>
        <w:widowControl/>
        <w:shd w:val="clear" w:color="auto" w:fill="FFFFFF"/>
        <w:jc w:val="left"/>
        <w:rPr>
          <w:rFonts w:hint="eastAsia" w:ascii="仿宋_GB2312" w:hAnsi="微软雅黑" w:eastAsia="仿宋_GB2312" w:cs="宋体"/>
          <w:color w:val="auto"/>
          <w:kern w:val="0"/>
          <w:sz w:val="32"/>
          <w:szCs w:val="32"/>
        </w:rPr>
      </w:pPr>
      <w:r>
        <w:rPr>
          <w:rFonts w:hint="eastAsia" w:ascii="仿宋_GB2312" w:hAnsi="黑体" w:eastAsia="仿宋_GB2312" w:cs="宋体"/>
          <w:color w:val="auto"/>
          <w:kern w:val="0"/>
          <w:sz w:val="32"/>
          <w:szCs w:val="32"/>
        </w:rPr>
        <w:t>　　十</w:t>
      </w:r>
      <w:r>
        <w:rPr>
          <w:rFonts w:hint="eastAsia" w:ascii="仿宋_GB2312" w:hAnsi="黑体" w:eastAsia="仿宋_GB2312" w:cs="宋体"/>
          <w:color w:val="auto"/>
          <w:kern w:val="0"/>
          <w:sz w:val="32"/>
          <w:szCs w:val="32"/>
          <w:lang w:eastAsia="zh-CN"/>
        </w:rPr>
        <w:t>四</w:t>
      </w:r>
      <w:r>
        <w:rPr>
          <w:rFonts w:hint="eastAsia" w:ascii="仿宋_GB2312" w:hAnsi="黑体" w:eastAsia="仿宋_GB2312" w:cs="宋体"/>
          <w:color w:val="auto"/>
          <w:kern w:val="0"/>
          <w:sz w:val="32"/>
          <w:szCs w:val="32"/>
        </w:rPr>
        <w:t>、</w:t>
      </w:r>
      <w:r>
        <w:rPr>
          <w:rFonts w:hint="eastAsia" w:ascii="仿宋_GB2312" w:hAnsi="微软雅黑" w:eastAsia="仿宋_GB2312" w:cs="宋体"/>
          <w:color w:val="auto"/>
          <w:kern w:val="0"/>
          <w:sz w:val="32"/>
          <w:szCs w:val="32"/>
        </w:rPr>
        <w:t>物业服务企业信用信息和信用等级可以作为建设局实施分类监管以及业主选聘物业服务企业、前期物业服务招标、物业管理示范项目考评等活动的重要依据，实行守信激励、失信惩戒。</w:t>
      </w:r>
    </w:p>
    <w:p>
      <w:pPr>
        <w:widowControl/>
        <w:shd w:val="clear" w:color="auto" w:fill="FFFFFF"/>
        <w:jc w:val="left"/>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　</w:t>
      </w:r>
      <w:r>
        <w:rPr>
          <w:rFonts w:hint="eastAsia" w:ascii="仿宋_GB2312" w:hAnsi="黑体" w:eastAsia="仿宋_GB2312" w:cs="宋体"/>
          <w:color w:val="auto"/>
          <w:kern w:val="0"/>
          <w:sz w:val="32"/>
          <w:szCs w:val="32"/>
        </w:rPr>
        <w:t>　十</w:t>
      </w:r>
      <w:r>
        <w:rPr>
          <w:rFonts w:hint="eastAsia" w:ascii="仿宋_GB2312" w:hAnsi="黑体" w:eastAsia="仿宋_GB2312" w:cs="宋体"/>
          <w:color w:val="auto"/>
          <w:kern w:val="0"/>
          <w:sz w:val="32"/>
          <w:szCs w:val="32"/>
          <w:lang w:eastAsia="zh-CN"/>
        </w:rPr>
        <w:t>五</w:t>
      </w:r>
      <w:r>
        <w:rPr>
          <w:rFonts w:hint="eastAsia" w:ascii="仿宋_GB2312" w:hAnsi="黑体" w:eastAsia="仿宋_GB2312" w:cs="宋体"/>
          <w:color w:val="auto"/>
          <w:kern w:val="0"/>
          <w:sz w:val="32"/>
          <w:szCs w:val="32"/>
        </w:rPr>
        <w:t>、</w:t>
      </w:r>
      <w:r>
        <w:rPr>
          <w:rFonts w:hint="eastAsia" w:ascii="仿宋_GB2312" w:hAnsi="微软雅黑" w:eastAsia="仿宋_GB2312" w:cs="宋体"/>
          <w:color w:val="auto"/>
          <w:kern w:val="0"/>
          <w:sz w:val="32"/>
          <w:szCs w:val="32"/>
        </w:rPr>
        <w:t>对于信用等级为B级及以上的物业服务企业，自信用等级公开之日起至下一次信用等级公开前可以采取以下措施：</w:t>
      </w:r>
    </w:p>
    <w:p>
      <w:pPr>
        <w:widowControl/>
        <w:shd w:val="clear" w:color="auto" w:fill="FFFFFF"/>
        <w:jc w:val="left"/>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　　（一）建设局开展日常检查、专项检查时减少检查频次；</w:t>
      </w:r>
    </w:p>
    <w:p>
      <w:pPr>
        <w:widowControl/>
        <w:shd w:val="clear" w:color="auto" w:fill="FFFFFF"/>
        <w:jc w:val="left"/>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　　（二）建设局组织实施各类表彰奖励、物业服务项目创优、媒体推介等活动时优先考虑或者推荐；</w:t>
      </w:r>
    </w:p>
    <w:p>
      <w:pPr>
        <w:widowControl/>
        <w:shd w:val="clear" w:color="auto" w:fill="FFFFFF"/>
        <w:jc w:val="left"/>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　　（三）建设局组织实施有关财政资金补助等政策扶持时优先考虑或者推荐；</w:t>
      </w:r>
    </w:p>
    <w:p>
      <w:pPr>
        <w:widowControl/>
        <w:shd w:val="clear" w:color="auto" w:fill="FFFFFF"/>
        <w:jc w:val="left"/>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　　（四）鼓励业主选聘物业服务企业时优先考虑；</w:t>
      </w:r>
    </w:p>
    <w:p>
      <w:pPr>
        <w:widowControl/>
        <w:shd w:val="clear" w:color="auto" w:fill="FFFFFF"/>
        <w:jc w:val="left"/>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　　（五）在政府网站等有关平台公开推介；</w:t>
      </w:r>
    </w:p>
    <w:p>
      <w:pPr>
        <w:widowControl/>
        <w:shd w:val="clear" w:color="auto" w:fill="FFFFFF"/>
        <w:jc w:val="left"/>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　　（六）依法可以采取的其他激励措施。</w:t>
      </w:r>
    </w:p>
    <w:p>
      <w:pPr>
        <w:widowControl/>
        <w:shd w:val="clear" w:color="auto" w:fill="FFFFFF"/>
        <w:jc w:val="left"/>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　　</w:t>
      </w:r>
      <w:r>
        <w:rPr>
          <w:rFonts w:hint="eastAsia" w:ascii="仿宋_GB2312" w:hAnsi="黑体" w:eastAsia="仿宋_GB2312" w:cs="宋体"/>
          <w:color w:val="auto"/>
          <w:kern w:val="0"/>
          <w:sz w:val="32"/>
          <w:szCs w:val="32"/>
        </w:rPr>
        <w:t>十</w:t>
      </w:r>
      <w:r>
        <w:rPr>
          <w:rFonts w:hint="eastAsia" w:ascii="仿宋_GB2312" w:hAnsi="黑体" w:eastAsia="仿宋_GB2312" w:cs="宋体"/>
          <w:color w:val="auto"/>
          <w:kern w:val="0"/>
          <w:sz w:val="32"/>
          <w:szCs w:val="32"/>
          <w:lang w:eastAsia="zh-CN"/>
        </w:rPr>
        <w:t>六</w:t>
      </w:r>
      <w:r>
        <w:rPr>
          <w:rFonts w:hint="eastAsia" w:ascii="仿宋_GB2312" w:hAnsi="黑体" w:eastAsia="仿宋_GB2312" w:cs="宋体"/>
          <w:color w:val="auto"/>
          <w:kern w:val="0"/>
          <w:sz w:val="32"/>
          <w:szCs w:val="32"/>
        </w:rPr>
        <w:t>、</w:t>
      </w:r>
      <w:r>
        <w:rPr>
          <w:rFonts w:hint="eastAsia" w:ascii="仿宋_GB2312" w:hAnsi="微软雅黑" w:eastAsia="仿宋_GB2312" w:cs="宋体"/>
          <w:color w:val="auto"/>
          <w:kern w:val="0"/>
          <w:sz w:val="32"/>
          <w:szCs w:val="32"/>
        </w:rPr>
        <w:t>对于信用等级为D级及以下的物业服务企业，自信用等级公开之日起至下一次信用等级公开前可以采取以下措施：</w:t>
      </w:r>
    </w:p>
    <w:p>
      <w:pPr>
        <w:widowControl/>
        <w:shd w:val="clear" w:color="auto" w:fill="FFFFFF"/>
        <w:jc w:val="left"/>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　　（一）建设局列为重点监管对象，增加检查频次，加强现场核查；</w:t>
      </w:r>
    </w:p>
    <w:p>
      <w:pPr>
        <w:widowControl/>
        <w:shd w:val="clear" w:color="auto" w:fill="FFFFFF"/>
        <w:jc w:val="left"/>
        <w:rPr>
          <w:rFonts w:hint="eastAsia" w:ascii="仿宋_GB2312" w:hAnsi="微软雅黑" w:eastAsia="仿宋_GB2312" w:cs="宋体"/>
          <w:color w:val="auto"/>
          <w:kern w:val="0"/>
          <w:sz w:val="32"/>
          <w:szCs w:val="32"/>
          <w:lang w:eastAsia="zh-CN"/>
        </w:rPr>
      </w:pPr>
      <w:r>
        <w:rPr>
          <w:rFonts w:hint="eastAsia" w:ascii="仿宋_GB2312" w:hAnsi="微软雅黑" w:eastAsia="仿宋_GB2312" w:cs="宋体"/>
          <w:color w:val="auto"/>
          <w:kern w:val="0"/>
          <w:sz w:val="32"/>
          <w:szCs w:val="32"/>
        </w:rPr>
        <w:t>　　（二）将企业信用等级及有关信用信息通报有关业主、业主委员会、居（村）民委员会，提示信用风险</w:t>
      </w:r>
      <w:r>
        <w:rPr>
          <w:rFonts w:hint="eastAsia" w:ascii="仿宋_GB2312" w:hAnsi="微软雅黑" w:eastAsia="仿宋_GB2312" w:cs="宋体"/>
          <w:color w:val="auto"/>
          <w:kern w:val="0"/>
          <w:sz w:val="32"/>
          <w:szCs w:val="32"/>
          <w:lang w:eastAsia="zh-CN"/>
        </w:rPr>
        <w:t>。</w:t>
      </w:r>
    </w:p>
    <w:p>
      <w:pPr>
        <w:widowControl/>
        <w:shd w:val="clear" w:color="auto" w:fill="FFFFFF"/>
        <w:jc w:val="left"/>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　　</w:t>
      </w:r>
      <w:r>
        <w:rPr>
          <w:rFonts w:hint="eastAsia" w:ascii="仿宋_GB2312" w:hAnsi="黑体" w:eastAsia="仿宋_GB2312" w:cs="宋体"/>
          <w:color w:val="auto"/>
          <w:kern w:val="0"/>
          <w:sz w:val="32"/>
          <w:szCs w:val="32"/>
        </w:rPr>
        <w:t>十</w:t>
      </w:r>
      <w:r>
        <w:rPr>
          <w:rFonts w:hint="eastAsia" w:ascii="仿宋_GB2312" w:hAnsi="黑体" w:eastAsia="仿宋_GB2312" w:cs="宋体"/>
          <w:color w:val="auto"/>
          <w:kern w:val="0"/>
          <w:sz w:val="32"/>
          <w:szCs w:val="32"/>
          <w:lang w:eastAsia="zh-CN"/>
        </w:rPr>
        <w:t>七</w:t>
      </w:r>
      <w:r>
        <w:rPr>
          <w:rFonts w:hint="eastAsia" w:ascii="仿宋_GB2312" w:hAnsi="黑体" w:eastAsia="仿宋_GB2312" w:cs="宋体"/>
          <w:color w:val="auto"/>
          <w:kern w:val="0"/>
          <w:sz w:val="32"/>
          <w:szCs w:val="32"/>
        </w:rPr>
        <w:t>、</w:t>
      </w:r>
      <w:r>
        <w:rPr>
          <w:rFonts w:hint="eastAsia" w:ascii="仿宋_GB2312" w:hAnsi="微软雅黑" w:eastAsia="仿宋_GB2312" w:cs="宋体"/>
          <w:color w:val="auto"/>
          <w:kern w:val="0"/>
          <w:sz w:val="32"/>
          <w:szCs w:val="32"/>
        </w:rPr>
        <w:t>对于</w:t>
      </w:r>
      <w:r>
        <w:rPr>
          <w:rFonts w:hint="eastAsia" w:ascii="仿宋_GB2312" w:hAnsi="微软雅黑" w:eastAsia="仿宋_GB2312" w:cs="宋体"/>
          <w:color w:val="auto"/>
          <w:kern w:val="0"/>
          <w:sz w:val="32"/>
          <w:szCs w:val="32"/>
          <w:lang w:eastAsia="zh-CN"/>
        </w:rPr>
        <w:t>被省级部门列入严重失信名单</w:t>
      </w:r>
      <w:r>
        <w:rPr>
          <w:rFonts w:hint="eastAsia" w:ascii="仿宋_GB2312" w:hAnsi="微软雅黑" w:eastAsia="仿宋_GB2312" w:cs="宋体"/>
          <w:color w:val="auto"/>
          <w:kern w:val="0"/>
          <w:sz w:val="32"/>
          <w:szCs w:val="32"/>
        </w:rPr>
        <w:t>的物业服务企业，在被列入严重失信名单期间可采取以下措施：</w:t>
      </w:r>
    </w:p>
    <w:p>
      <w:pPr>
        <w:widowControl/>
        <w:shd w:val="clear" w:color="auto" w:fill="FFFFFF"/>
        <w:jc w:val="left"/>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　　（一）限制享受财政资金补助等政策扶持；</w:t>
      </w:r>
    </w:p>
    <w:p>
      <w:pPr>
        <w:widowControl/>
        <w:shd w:val="clear" w:color="auto" w:fill="FFFFFF"/>
        <w:jc w:val="left"/>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　　（二）限制参加各类表彰奖励活动；</w:t>
      </w:r>
    </w:p>
    <w:p>
      <w:pPr>
        <w:widowControl/>
        <w:shd w:val="clear" w:color="auto" w:fill="FFFFFF"/>
        <w:jc w:val="left"/>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　　（三）撤销相关荣誉称号；</w:t>
      </w:r>
    </w:p>
    <w:p>
      <w:pPr>
        <w:widowControl/>
        <w:shd w:val="clear" w:color="auto" w:fill="FFFFFF"/>
        <w:ind w:firstLine="630"/>
        <w:jc w:val="left"/>
        <w:rPr>
          <w:rFonts w:hint="eastAsia" w:ascii="仿宋_GB2312" w:hAnsi="微软雅黑" w:eastAsia="仿宋_GB2312" w:cs="宋体"/>
          <w:color w:val="auto"/>
          <w:kern w:val="0"/>
          <w:sz w:val="32"/>
          <w:szCs w:val="32"/>
          <w:lang w:eastAsia="zh-CN"/>
        </w:rPr>
      </w:pPr>
      <w:r>
        <w:rPr>
          <w:rFonts w:hint="eastAsia" w:ascii="仿宋_GB2312" w:hAnsi="微软雅黑" w:eastAsia="仿宋_GB2312" w:cs="宋体"/>
          <w:color w:val="auto"/>
          <w:kern w:val="0"/>
          <w:sz w:val="32"/>
          <w:szCs w:val="32"/>
        </w:rPr>
        <w:t>（</w:t>
      </w:r>
      <w:r>
        <w:rPr>
          <w:rFonts w:hint="eastAsia" w:ascii="仿宋_GB2312" w:hAnsi="微软雅黑" w:eastAsia="仿宋_GB2312" w:cs="宋体"/>
          <w:color w:val="auto"/>
          <w:kern w:val="0"/>
          <w:sz w:val="32"/>
          <w:szCs w:val="32"/>
          <w:lang w:eastAsia="zh-CN"/>
        </w:rPr>
        <w:t>四</w:t>
      </w:r>
      <w:r>
        <w:rPr>
          <w:rFonts w:hint="eastAsia" w:ascii="仿宋_GB2312" w:hAnsi="微软雅黑" w:eastAsia="仿宋_GB2312" w:cs="宋体"/>
          <w:color w:val="auto"/>
          <w:kern w:val="0"/>
          <w:sz w:val="32"/>
          <w:szCs w:val="32"/>
        </w:rPr>
        <w:t>）抄送注册地行政主管部门</w:t>
      </w:r>
      <w:r>
        <w:rPr>
          <w:rFonts w:hint="eastAsia" w:ascii="仿宋_GB2312" w:hAnsi="微软雅黑" w:eastAsia="仿宋_GB2312" w:cs="宋体"/>
          <w:color w:val="auto"/>
          <w:kern w:val="0"/>
          <w:sz w:val="32"/>
          <w:szCs w:val="32"/>
          <w:lang w:eastAsia="zh-CN"/>
        </w:rPr>
        <w:t>；</w:t>
      </w:r>
    </w:p>
    <w:p>
      <w:pPr>
        <w:widowControl/>
        <w:shd w:val="clear" w:color="auto" w:fill="FFFFFF"/>
        <w:ind w:firstLine="630"/>
        <w:jc w:val="left"/>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w:t>
      </w:r>
      <w:r>
        <w:rPr>
          <w:rFonts w:hint="eastAsia" w:ascii="仿宋_GB2312" w:hAnsi="微软雅黑" w:eastAsia="仿宋_GB2312" w:cs="宋体"/>
          <w:color w:val="auto"/>
          <w:kern w:val="0"/>
          <w:sz w:val="32"/>
          <w:szCs w:val="32"/>
          <w:lang w:eastAsia="zh-CN"/>
        </w:rPr>
        <w:t>五</w:t>
      </w:r>
      <w:r>
        <w:rPr>
          <w:rFonts w:hint="eastAsia" w:ascii="仿宋_GB2312" w:hAnsi="微软雅黑" w:eastAsia="仿宋_GB2312" w:cs="宋体"/>
          <w:color w:val="auto"/>
          <w:kern w:val="0"/>
          <w:sz w:val="32"/>
          <w:szCs w:val="32"/>
        </w:rPr>
        <w:t>）依法可以采取的其他惩戒措施。</w:t>
      </w:r>
    </w:p>
    <w:p>
      <w:pPr>
        <w:widowControl/>
        <w:shd w:val="clear" w:color="auto" w:fill="FFFFFF"/>
        <w:ind w:firstLine="660"/>
        <w:jc w:val="left"/>
        <w:rPr>
          <w:rFonts w:hint="eastAsia" w:ascii="仿宋_GB2312" w:hAnsi="微软雅黑" w:eastAsia="仿宋_GB2312" w:cs="宋体"/>
          <w:color w:val="auto"/>
          <w:kern w:val="0"/>
          <w:sz w:val="32"/>
          <w:szCs w:val="32"/>
        </w:rPr>
      </w:pPr>
      <w:r>
        <w:rPr>
          <w:rFonts w:hint="eastAsia" w:ascii="仿宋_GB2312" w:hAnsi="黑体" w:eastAsia="仿宋_GB2312" w:cs="宋体"/>
          <w:color w:val="auto"/>
          <w:kern w:val="0"/>
          <w:sz w:val="32"/>
          <w:szCs w:val="32"/>
        </w:rPr>
        <w:t>十</w:t>
      </w:r>
      <w:r>
        <w:rPr>
          <w:rFonts w:hint="eastAsia" w:ascii="仿宋_GB2312" w:hAnsi="黑体" w:eastAsia="仿宋_GB2312" w:cs="宋体"/>
          <w:color w:val="auto"/>
          <w:kern w:val="0"/>
          <w:sz w:val="32"/>
          <w:szCs w:val="32"/>
          <w:lang w:eastAsia="zh-CN"/>
        </w:rPr>
        <w:t>八</w:t>
      </w:r>
      <w:r>
        <w:rPr>
          <w:rFonts w:hint="eastAsia" w:ascii="仿宋_GB2312" w:hAnsi="黑体" w:eastAsia="仿宋_GB2312" w:cs="宋体"/>
          <w:color w:val="auto"/>
          <w:kern w:val="0"/>
          <w:sz w:val="32"/>
          <w:szCs w:val="32"/>
        </w:rPr>
        <w:t>、</w:t>
      </w:r>
      <w:r>
        <w:rPr>
          <w:rFonts w:hint="eastAsia" w:ascii="仿宋_GB2312" w:hAnsi="微软雅黑" w:eastAsia="仿宋_GB2312" w:cs="宋体"/>
          <w:color w:val="auto"/>
          <w:kern w:val="0"/>
          <w:sz w:val="32"/>
          <w:szCs w:val="32"/>
        </w:rPr>
        <w:t>被认定为不良信息主体的物业服务企业符合下列信用修复条件后，可向建设局申请信用修复：</w:t>
      </w:r>
    </w:p>
    <w:p>
      <w:pPr>
        <w:widowControl/>
        <w:shd w:val="clear" w:color="auto" w:fill="FFFFFF"/>
        <w:ind w:firstLine="660"/>
        <w:jc w:val="left"/>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（一）行政处理决定和司法裁判等明确的法定责任和义务履行完毕，社会不良影响基本消除；</w:t>
      </w:r>
    </w:p>
    <w:p>
      <w:pPr>
        <w:widowControl/>
        <w:shd w:val="clear" w:color="auto" w:fill="FFFFFF"/>
        <w:ind w:firstLine="660"/>
        <w:jc w:val="left"/>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（二）自不良信息认定之日起至申请修复时满1年及以上；</w:t>
      </w:r>
    </w:p>
    <w:p>
      <w:pPr>
        <w:widowControl/>
        <w:shd w:val="clear" w:color="auto" w:fill="FFFFFF"/>
        <w:ind w:firstLine="660"/>
        <w:jc w:val="left"/>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（三）自不良信息认定之日起至申请信用修复期间未产生新的记入信用档案的同类不良信息；</w:t>
      </w:r>
    </w:p>
    <w:p>
      <w:pPr>
        <w:keepNext w:val="0"/>
        <w:keepLines w:val="0"/>
        <w:pageBreakBefore w:val="0"/>
        <w:widowControl w:val="0"/>
        <w:shd w:val="clear" w:color="auto" w:fill="FFFFFF"/>
        <w:kinsoku/>
        <w:wordWrap/>
        <w:overflowPunct/>
        <w:topLinePunct w:val="0"/>
        <w:autoSpaceDE/>
        <w:autoSpaceDN/>
        <w:bidi w:val="0"/>
        <w:adjustRightInd/>
        <w:snapToGrid/>
        <w:ind w:firstLine="658"/>
        <w:jc w:val="left"/>
        <w:textAlignment w:val="auto"/>
        <w:rPr>
          <w:rFonts w:hint="eastAsia" w:ascii="仿宋_GB2312" w:hAnsi="微软雅黑" w:eastAsia="仿宋_GB2312" w:cs="宋体"/>
          <w:color w:val="auto"/>
          <w:kern w:val="0"/>
          <w:sz w:val="32"/>
          <w:szCs w:val="32"/>
          <w:lang w:eastAsia="zh-CN"/>
        </w:rPr>
      </w:pPr>
      <w:r>
        <w:rPr>
          <w:rFonts w:hint="eastAsia" w:ascii="仿宋_GB2312" w:hAnsi="微软雅黑" w:eastAsia="仿宋_GB2312" w:cs="宋体"/>
          <w:color w:val="auto"/>
          <w:kern w:val="0"/>
          <w:sz w:val="32"/>
          <w:szCs w:val="32"/>
        </w:rPr>
        <w:t>（四）非被列入严重失信名单期间</w:t>
      </w:r>
      <w:r>
        <w:rPr>
          <w:rFonts w:hint="eastAsia" w:ascii="仿宋_GB2312" w:hAnsi="微软雅黑" w:eastAsia="仿宋_GB2312" w:cs="宋体"/>
          <w:color w:val="auto"/>
          <w:kern w:val="0"/>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ind w:firstLine="658"/>
        <w:jc w:val="left"/>
        <w:textAlignment w:val="auto"/>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（五）自不良信息认定之日起至申请信用修复期间，至少参加</w:t>
      </w:r>
      <w:r>
        <w:rPr>
          <w:rFonts w:hint="eastAsia" w:ascii="仿宋_GB2312" w:hAnsi="微软雅黑" w:eastAsia="仿宋_GB2312" w:cs="宋体"/>
          <w:color w:val="auto"/>
          <w:kern w:val="0"/>
          <w:sz w:val="32"/>
          <w:szCs w:val="32"/>
          <w:lang w:val="en-US" w:eastAsia="zh-CN"/>
        </w:rPr>
        <w:t>企业在我市服务项目数量×50</w:t>
      </w:r>
      <w:r>
        <w:rPr>
          <w:rFonts w:hint="eastAsia" w:ascii="仿宋_GB2312" w:hAnsi="微软雅黑" w:eastAsia="仿宋_GB2312" w:cs="宋体"/>
          <w:color w:val="auto"/>
          <w:kern w:val="0"/>
          <w:sz w:val="32"/>
          <w:szCs w:val="32"/>
        </w:rPr>
        <w:t>小时以上</w:t>
      </w:r>
      <w:r>
        <w:rPr>
          <w:rFonts w:hint="eastAsia" w:ascii="仿宋_GB2312" w:hAnsi="微软雅黑" w:eastAsia="仿宋_GB2312" w:cs="宋体"/>
          <w:color w:val="auto"/>
          <w:kern w:val="0"/>
          <w:sz w:val="32"/>
          <w:szCs w:val="32"/>
          <w:lang w:eastAsia="zh-CN"/>
        </w:rPr>
        <w:t>的</w:t>
      </w:r>
      <w:r>
        <w:rPr>
          <w:rFonts w:hint="eastAsia" w:ascii="仿宋_GB2312" w:hAnsi="微软雅黑" w:eastAsia="仿宋_GB2312" w:cs="宋体"/>
          <w:color w:val="auto"/>
          <w:kern w:val="0"/>
          <w:sz w:val="32"/>
          <w:szCs w:val="32"/>
        </w:rPr>
        <w:t>社会公益事业或志愿服务，并经</w:t>
      </w:r>
      <w:r>
        <w:rPr>
          <w:rFonts w:hint="eastAsia" w:ascii="仿宋_GB2312" w:hAnsi="微软雅黑" w:eastAsia="仿宋_GB2312" w:cs="宋体"/>
          <w:color w:val="auto"/>
          <w:kern w:val="0"/>
          <w:sz w:val="32"/>
          <w:szCs w:val="32"/>
          <w:lang w:eastAsia="zh-CN"/>
        </w:rPr>
        <w:t>社区等</w:t>
      </w:r>
      <w:r>
        <w:rPr>
          <w:rFonts w:hint="eastAsia" w:ascii="仿宋_GB2312" w:hAnsi="微软雅黑" w:eastAsia="仿宋_GB2312" w:cs="宋体"/>
          <w:color w:val="auto"/>
          <w:kern w:val="0"/>
          <w:sz w:val="32"/>
          <w:szCs w:val="32"/>
        </w:rPr>
        <w:t>相关</w:t>
      </w:r>
      <w:r>
        <w:rPr>
          <w:rFonts w:hint="eastAsia" w:ascii="仿宋_GB2312" w:hAnsi="微软雅黑" w:eastAsia="仿宋_GB2312" w:cs="宋体"/>
          <w:color w:val="auto"/>
          <w:kern w:val="0"/>
          <w:sz w:val="32"/>
          <w:szCs w:val="32"/>
          <w:lang w:eastAsia="zh-CN"/>
        </w:rPr>
        <w:t>单位</w:t>
      </w:r>
      <w:r>
        <w:rPr>
          <w:rFonts w:hint="eastAsia" w:ascii="仿宋_GB2312" w:hAnsi="微软雅黑" w:eastAsia="仿宋_GB2312" w:cs="宋体"/>
          <w:color w:val="auto"/>
          <w:kern w:val="0"/>
          <w:sz w:val="32"/>
          <w:szCs w:val="32"/>
        </w:rPr>
        <w:t>或组织确认。</w:t>
      </w:r>
    </w:p>
    <w:p>
      <w:pPr>
        <w:keepNext w:val="0"/>
        <w:keepLines w:val="0"/>
        <w:pageBreakBefore w:val="0"/>
        <w:widowControl w:val="0"/>
        <w:shd w:val="clear" w:color="auto" w:fill="FFFFFF"/>
        <w:kinsoku/>
        <w:wordWrap/>
        <w:overflowPunct/>
        <w:topLinePunct w:val="0"/>
        <w:autoSpaceDE/>
        <w:autoSpaceDN/>
        <w:bidi w:val="0"/>
        <w:adjustRightInd/>
        <w:snapToGrid/>
        <w:ind w:firstLine="660"/>
        <w:jc w:val="left"/>
        <w:textAlignment w:val="auto"/>
        <w:rPr>
          <w:rFonts w:hint="eastAsia" w:ascii="仿宋_GB2312" w:hAnsi="微软雅黑" w:eastAsia="仿宋_GB2312" w:cs="宋体"/>
          <w:color w:val="auto"/>
          <w:kern w:val="0"/>
          <w:sz w:val="32"/>
          <w:szCs w:val="32"/>
        </w:rPr>
      </w:pPr>
      <w:r>
        <w:rPr>
          <w:rFonts w:hint="eastAsia" w:ascii="仿宋_GB2312" w:hAnsi="黑体" w:eastAsia="仿宋_GB2312" w:cs="宋体"/>
          <w:color w:val="auto"/>
          <w:kern w:val="0"/>
          <w:sz w:val="32"/>
          <w:szCs w:val="32"/>
        </w:rPr>
        <w:t>十</w:t>
      </w:r>
      <w:r>
        <w:rPr>
          <w:rFonts w:hint="eastAsia" w:ascii="仿宋_GB2312" w:hAnsi="黑体" w:eastAsia="仿宋_GB2312" w:cs="宋体"/>
          <w:color w:val="auto"/>
          <w:kern w:val="0"/>
          <w:sz w:val="32"/>
          <w:szCs w:val="32"/>
          <w:lang w:eastAsia="zh-CN"/>
        </w:rPr>
        <w:t>九</w:t>
      </w:r>
      <w:r>
        <w:rPr>
          <w:rFonts w:hint="eastAsia" w:ascii="仿宋_GB2312" w:hAnsi="黑体" w:eastAsia="仿宋_GB2312" w:cs="宋体"/>
          <w:color w:val="auto"/>
          <w:kern w:val="0"/>
          <w:sz w:val="32"/>
          <w:szCs w:val="32"/>
        </w:rPr>
        <w:t>、</w:t>
      </w:r>
      <w:r>
        <w:rPr>
          <w:rFonts w:hint="eastAsia" w:ascii="仿宋_GB2312" w:hAnsi="微软雅黑" w:eastAsia="仿宋_GB2312" w:cs="宋体"/>
          <w:color w:val="auto"/>
          <w:kern w:val="0"/>
          <w:sz w:val="32"/>
          <w:szCs w:val="32"/>
        </w:rPr>
        <w:t>建设局应根据《义乌市信用修复管理暂行办法》的规定，及时受理信用修复申请，并做出认定。</w:t>
      </w:r>
    </w:p>
    <w:p>
      <w:pPr>
        <w:keepNext w:val="0"/>
        <w:keepLines w:val="0"/>
        <w:pageBreakBefore w:val="0"/>
        <w:widowControl w:val="0"/>
        <w:shd w:val="clear" w:color="auto" w:fill="FFFFFF"/>
        <w:kinsoku/>
        <w:wordWrap/>
        <w:overflowPunct/>
        <w:topLinePunct w:val="0"/>
        <w:autoSpaceDE/>
        <w:autoSpaceDN/>
        <w:bidi w:val="0"/>
        <w:adjustRightInd/>
        <w:snapToGrid/>
        <w:jc w:val="left"/>
        <w:textAlignment w:val="auto"/>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　</w:t>
      </w:r>
      <w:r>
        <w:rPr>
          <w:rFonts w:hint="eastAsia" w:ascii="仿宋_GB2312" w:hAnsi="黑体" w:eastAsia="仿宋_GB2312" w:cs="宋体"/>
          <w:color w:val="auto"/>
          <w:kern w:val="0"/>
          <w:sz w:val="32"/>
          <w:szCs w:val="32"/>
        </w:rPr>
        <w:t>　二十、</w:t>
      </w:r>
      <w:r>
        <w:rPr>
          <w:rFonts w:hint="eastAsia" w:ascii="仿宋_GB2312" w:hAnsi="微软雅黑" w:eastAsia="仿宋_GB2312" w:cs="宋体"/>
          <w:color w:val="auto"/>
          <w:kern w:val="0"/>
          <w:sz w:val="32"/>
          <w:szCs w:val="32"/>
        </w:rPr>
        <w:t>建设局工作人员在物业服务企业信用信息管理工作中玩忽职守、滥用职权、徇私舞弊的，由有权机关责令改正，对其主管人员和直接责任人员依法给予行政处分。</w:t>
      </w:r>
    </w:p>
    <w:p>
      <w:pPr>
        <w:widowControl/>
        <w:shd w:val="clear" w:color="auto" w:fill="FFFFFF"/>
        <w:jc w:val="left"/>
        <w:rPr>
          <w:rFonts w:hint="eastAsia" w:ascii="仿宋_GB2312" w:hAnsi="微软雅黑" w:eastAsia="仿宋_GB2312" w:cs="宋体"/>
          <w:color w:val="auto"/>
          <w:kern w:val="0"/>
          <w:sz w:val="32"/>
          <w:szCs w:val="32"/>
        </w:rPr>
      </w:pPr>
      <w:r>
        <w:rPr>
          <w:rFonts w:hint="eastAsia" w:ascii="仿宋_GB2312" w:hAnsi="黑体" w:eastAsia="仿宋_GB2312" w:cs="宋体"/>
          <w:color w:val="auto"/>
          <w:kern w:val="0"/>
          <w:sz w:val="32"/>
          <w:szCs w:val="32"/>
        </w:rPr>
        <w:t>　　二十</w:t>
      </w:r>
      <w:r>
        <w:rPr>
          <w:rFonts w:hint="eastAsia" w:ascii="仿宋_GB2312" w:hAnsi="黑体" w:eastAsia="仿宋_GB2312" w:cs="宋体"/>
          <w:color w:val="auto"/>
          <w:kern w:val="0"/>
          <w:sz w:val="32"/>
          <w:szCs w:val="32"/>
          <w:lang w:eastAsia="zh-CN"/>
        </w:rPr>
        <w:t>一</w:t>
      </w:r>
      <w:r>
        <w:rPr>
          <w:rFonts w:hint="eastAsia" w:ascii="仿宋_GB2312" w:hAnsi="黑体" w:eastAsia="仿宋_GB2312" w:cs="宋体"/>
          <w:color w:val="auto"/>
          <w:kern w:val="0"/>
          <w:sz w:val="32"/>
          <w:szCs w:val="32"/>
        </w:rPr>
        <w:t>、</w:t>
      </w:r>
      <w:r>
        <w:rPr>
          <w:rFonts w:hint="eastAsia" w:ascii="仿宋_GB2312" w:hAnsi="微软雅黑" w:eastAsia="仿宋_GB2312" w:cs="宋体"/>
          <w:color w:val="auto"/>
          <w:kern w:val="0"/>
          <w:sz w:val="32"/>
          <w:szCs w:val="32"/>
        </w:rPr>
        <w:t>建设局对于日常监督管理过程中发现并确认从事物业服务活动，但是未在物业信用平台上注册的企业，可以依照本办法规定采集、发布其信用信息并实施激励和惩戒。</w:t>
      </w:r>
    </w:p>
    <w:p>
      <w:pPr>
        <w:widowControl/>
        <w:shd w:val="clear" w:color="auto" w:fill="FFFFFF"/>
        <w:ind w:firstLine="630"/>
        <w:jc w:val="left"/>
        <w:rPr>
          <w:rFonts w:hint="eastAsia" w:ascii="仿宋_GB2312" w:hAnsi="微软雅黑" w:eastAsia="仿宋_GB2312" w:cs="宋体"/>
          <w:color w:val="auto"/>
          <w:kern w:val="0"/>
          <w:sz w:val="32"/>
          <w:szCs w:val="32"/>
        </w:rPr>
      </w:pPr>
      <w:r>
        <w:rPr>
          <w:rFonts w:hint="eastAsia" w:ascii="仿宋_GB2312" w:hAnsi="黑体" w:eastAsia="仿宋_GB2312" w:cs="宋体"/>
          <w:color w:val="auto"/>
          <w:kern w:val="0"/>
          <w:sz w:val="32"/>
          <w:szCs w:val="32"/>
        </w:rPr>
        <w:t>二十</w:t>
      </w:r>
      <w:r>
        <w:rPr>
          <w:rFonts w:hint="eastAsia" w:ascii="仿宋_GB2312" w:hAnsi="黑体" w:eastAsia="仿宋_GB2312" w:cs="宋体"/>
          <w:color w:val="auto"/>
          <w:kern w:val="0"/>
          <w:sz w:val="32"/>
          <w:szCs w:val="32"/>
          <w:lang w:eastAsia="zh-CN"/>
        </w:rPr>
        <w:t>二</w:t>
      </w:r>
      <w:r>
        <w:rPr>
          <w:rFonts w:hint="eastAsia" w:ascii="仿宋_GB2312" w:hAnsi="黑体" w:eastAsia="仿宋_GB2312" w:cs="宋体"/>
          <w:color w:val="auto"/>
          <w:kern w:val="0"/>
          <w:sz w:val="32"/>
          <w:szCs w:val="32"/>
        </w:rPr>
        <w:t>、</w:t>
      </w:r>
      <w:r>
        <w:rPr>
          <w:rFonts w:hint="eastAsia" w:ascii="仿宋_GB2312" w:hAnsi="微软雅黑" w:eastAsia="仿宋_GB2312" w:cs="宋体"/>
          <w:color w:val="auto"/>
          <w:kern w:val="0"/>
          <w:sz w:val="32"/>
          <w:szCs w:val="32"/>
        </w:rPr>
        <w:t>本办法自</w:t>
      </w:r>
      <w:r>
        <w:rPr>
          <w:rFonts w:hint="eastAsia" w:ascii="仿宋_GB2312" w:eastAsia="仿宋_GB2312"/>
          <w:color w:val="000000" w:themeColor="text1"/>
          <w:sz w:val="32"/>
          <w:szCs w:val="32"/>
          <w:highlight w:val="none"/>
          <w:lang w:val="en-US" w:eastAsia="zh-CN"/>
          <w14:textFill>
            <w14:solidFill>
              <w14:schemeClr w14:val="tx1"/>
            </w14:solidFill>
          </w14:textFill>
        </w:rPr>
        <w:t>2022</w:t>
      </w:r>
      <w:r>
        <w:rPr>
          <w:rFonts w:hint="eastAsia" w:ascii="仿宋_GB2312" w:eastAsia="仿宋_GB2312"/>
          <w:color w:val="000000" w:themeColor="text1"/>
          <w:sz w:val="32"/>
          <w:szCs w:val="32"/>
          <w:highlight w:val="none"/>
          <w14:textFill>
            <w14:solidFill>
              <w14:schemeClr w14:val="tx1"/>
            </w14:solidFill>
          </w14:textFill>
        </w:rPr>
        <w:t>年</w:t>
      </w:r>
      <w:r>
        <w:rPr>
          <w:rFonts w:hint="eastAsia" w:ascii="仿宋_GB2312" w:eastAsia="仿宋_GB2312"/>
          <w:color w:val="000000" w:themeColor="text1"/>
          <w:sz w:val="32"/>
          <w:szCs w:val="32"/>
          <w:highlight w:val="none"/>
          <w:lang w:val="en-US" w:eastAsia="zh-CN"/>
          <w14:textFill>
            <w14:solidFill>
              <w14:schemeClr w14:val="tx1"/>
            </w14:solidFill>
          </w14:textFill>
        </w:rPr>
        <w:t>2</w:t>
      </w:r>
      <w:r>
        <w:rPr>
          <w:rFonts w:hint="eastAsia" w:ascii="仿宋_GB2312" w:eastAsia="仿宋_GB2312"/>
          <w:color w:val="000000" w:themeColor="text1"/>
          <w:sz w:val="32"/>
          <w:szCs w:val="32"/>
          <w:highlight w:val="none"/>
          <w14:textFill>
            <w14:solidFill>
              <w14:schemeClr w14:val="tx1"/>
            </w14:solidFill>
          </w14:textFill>
        </w:rPr>
        <w:t>月</w:t>
      </w:r>
      <w:r>
        <w:rPr>
          <w:rFonts w:hint="eastAsia" w:ascii="仿宋_GB2312" w:eastAsia="仿宋_GB2312"/>
          <w:color w:val="000000" w:themeColor="text1"/>
          <w:sz w:val="32"/>
          <w:szCs w:val="32"/>
          <w:highlight w:val="none"/>
          <w:lang w:val="en-US" w:eastAsia="zh-CN"/>
          <w14:textFill>
            <w14:solidFill>
              <w14:schemeClr w14:val="tx1"/>
            </w14:solidFill>
          </w14:textFill>
        </w:rPr>
        <w:t>6</w:t>
      </w:r>
      <w:r>
        <w:rPr>
          <w:rFonts w:hint="eastAsia" w:ascii="仿宋_GB2312" w:eastAsia="仿宋_GB2312"/>
          <w:color w:val="000000" w:themeColor="text1"/>
          <w:sz w:val="32"/>
          <w:szCs w:val="32"/>
          <w:highlight w:val="none"/>
          <w14:textFill>
            <w14:solidFill>
              <w14:schemeClr w14:val="tx1"/>
            </w14:solidFill>
          </w14:textFill>
        </w:rPr>
        <w:t>日</w:t>
      </w:r>
      <w:r>
        <w:rPr>
          <w:rFonts w:hint="eastAsia" w:ascii="仿宋_GB2312" w:hAnsi="微软雅黑" w:eastAsia="仿宋_GB2312" w:cs="宋体"/>
          <w:color w:val="auto"/>
          <w:kern w:val="0"/>
          <w:sz w:val="32"/>
          <w:szCs w:val="32"/>
        </w:rPr>
        <w:t>起施行。</w:t>
      </w:r>
    </w:p>
    <w:p>
      <w:pPr>
        <w:widowControl/>
        <w:shd w:val="clear" w:color="auto" w:fill="FFFFFF"/>
        <w:ind w:firstLine="630"/>
        <w:jc w:val="left"/>
        <w:rPr>
          <w:rFonts w:hint="eastAsia" w:ascii="仿宋_GB2312" w:hAnsi="微软雅黑" w:eastAsia="仿宋_GB2312" w:cs="宋体"/>
          <w:color w:val="auto"/>
          <w:kern w:val="0"/>
          <w:sz w:val="32"/>
          <w:szCs w:val="32"/>
        </w:rPr>
      </w:pPr>
    </w:p>
    <w:p>
      <w:pPr>
        <w:widowControl/>
        <w:shd w:val="clear" w:color="auto" w:fill="FFFFFF"/>
        <w:ind w:firstLine="630"/>
        <w:jc w:val="left"/>
        <w:rPr>
          <w:rFonts w:hint="eastAsia" w:ascii="仿宋_GB2312" w:hAnsi="微软雅黑" w:eastAsia="仿宋_GB2312" w:cs="宋体"/>
          <w:color w:val="auto"/>
          <w:kern w:val="0"/>
          <w:sz w:val="32"/>
          <w:szCs w:val="32"/>
        </w:rPr>
      </w:pPr>
    </w:p>
    <w:p>
      <w:pPr>
        <w:widowControl/>
        <w:jc w:val="left"/>
        <w:rPr>
          <w:rFonts w:ascii="仿宋_GB2312" w:eastAsia="仿宋_GB2312"/>
          <w:color w:val="auto"/>
          <w:sz w:val="32"/>
          <w:szCs w:val="32"/>
        </w:rPr>
      </w:pPr>
      <w:r>
        <w:rPr>
          <w:rFonts w:ascii="仿宋_GB2312" w:eastAsia="仿宋_GB2312"/>
          <w:color w:val="auto"/>
          <w:sz w:val="32"/>
          <w:szCs w:val="32"/>
        </w:rPr>
        <w:br w:type="page"/>
      </w:r>
    </w:p>
    <w:p>
      <w:pPr>
        <w:widowControl/>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物业服务企业</w:t>
      </w:r>
      <w:r>
        <w:rPr>
          <w:rFonts w:hint="eastAsia" w:ascii="方正小标宋简体" w:hAnsi="方正小标宋简体" w:eastAsia="方正小标宋简体" w:cs="方正小标宋简体"/>
          <w:color w:val="auto"/>
          <w:sz w:val="44"/>
          <w:szCs w:val="44"/>
          <w:lang w:eastAsia="zh-CN"/>
        </w:rPr>
        <w:t>信用</w:t>
      </w:r>
      <w:r>
        <w:rPr>
          <w:rFonts w:hint="eastAsia" w:ascii="方正小标宋简体" w:hAnsi="方正小标宋简体" w:eastAsia="方正小标宋简体" w:cs="方正小标宋简体"/>
          <w:color w:val="auto"/>
          <w:sz w:val="44"/>
          <w:szCs w:val="44"/>
        </w:rPr>
        <w:t>信息评分</w:t>
      </w:r>
      <w:r>
        <w:rPr>
          <w:rFonts w:hint="eastAsia" w:ascii="方正小标宋简体" w:hAnsi="方正小标宋简体" w:eastAsia="方正小标宋简体" w:cs="方正小标宋简体"/>
          <w:color w:val="auto"/>
          <w:sz w:val="44"/>
          <w:szCs w:val="44"/>
          <w:lang w:eastAsia="zh-CN"/>
        </w:rPr>
        <w:t>标准</w:t>
      </w:r>
    </w:p>
    <w:p>
      <w:pPr>
        <w:widowControl/>
        <w:jc w:val="center"/>
        <w:rPr>
          <w:rFonts w:hint="eastAsia" w:ascii="仿宋_GB2312" w:eastAsia="宋体"/>
          <w:b/>
          <w:bCs/>
          <w:color w:val="auto"/>
          <w:sz w:val="32"/>
          <w:szCs w:val="32"/>
          <w:lang w:eastAsia="zh-CN"/>
        </w:rPr>
      </w:pPr>
      <w:r>
        <w:rPr>
          <w:rFonts w:hint="eastAsia" w:ascii="宋体" w:hAnsi="宋体" w:cs="宋体"/>
          <w:b/>
          <w:bCs/>
          <w:color w:val="auto"/>
          <w:sz w:val="32"/>
          <w:szCs w:val="32"/>
          <w:lang w:eastAsia="zh-CN"/>
        </w:rPr>
        <w:t>一、</w:t>
      </w:r>
      <w:r>
        <w:rPr>
          <w:rFonts w:ascii="宋体" w:hAnsi="宋体" w:cs="宋体"/>
          <w:b/>
          <w:bCs/>
          <w:color w:val="auto"/>
          <w:sz w:val="32"/>
          <w:szCs w:val="32"/>
        </w:rPr>
        <w:t>基础信息</w:t>
      </w:r>
    </w:p>
    <w:tbl>
      <w:tblPr>
        <w:tblStyle w:val="4"/>
        <w:tblW w:w="8835" w:type="dxa"/>
        <w:jc w:val="center"/>
        <w:tblCellSpacing w:w="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
      <w:tblGrid>
        <w:gridCol w:w="325"/>
        <w:gridCol w:w="1042"/>
        <w:gridCol w:w="1331"/>
        <w:gridCol w:w="5813"/>
        <w:gridCol w:w="324"/>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25" w:type="dxa"/>
            <w:tcBorders>
              <w:top w:val="outset" w:color="808080" w:sz="6" w:space="0"/>
              <w:left w:val="inset" w:color="808080" w:sz="6" w:space="0"/>
              <w:bottom w:val="outset" w:color="808080" w:sz="6" w:space="0"/>
              <w:right w:val="outset" w:color="808080" w:sz="6" w:space="0"/>
            </w:tcBorders>
            <w:tcMar>
              <w:top w:w="8" w:type="dxa"/>
              <w:left w:w="8" w:type="dxa"/>
              <w:bottom w:w="8" w:type="dxa"/>
              <w:right w:w="8" w:type="dxa"/>
            </w:tcMar>
            <w:vAlign w:val="center"/>
          </w:tcPr>
          <w:p>
            <w:pPr>
              <w:spacing w:line="450" w:lineRule="atLeast"/>
              <w:jc w:val="center"/>
              <w:rPr>
                <w:rFonts w:ascii="宋体" w:hAnsi="宋体" w:cs="宋体"/>
                <w:color w:val="auto"/>
                <w:sz w:val="24"/>
              </w:rPr>
            </w:pPr>
            <w:r>
              <w:rPr>
                <w:rFonts w:ascii="宋体" w:hAnsi="宋体" w:cs="宋体"/>
                <w:color w:val="auto"/>
                <w:sz w:val="24"/>
              </w:rPr>
              <w:t>序号</w:t>
            </w:r>
          </w:p>
        </w:tc>
        <w:tc>
          <w:tcPr>
            <w:tcW w:w="2373" w:type="dxa"/>
            <w:gridSpan w:val="2"/>
            <w:tcBorders>
              <w:top w:val="outset" w:color="808080" w:sz="6" w:space="0"/>
              <w:left w:val="outset" w:color="808080" w:sz="6" w:space="0"/>
              <w:bottom w:val="outset" w:color="808080" w:sz="6" w:space="0"/>
              <w:right w:val="outset" w:color="808080" w:sz="6" w:space="0"/>
            </w:tcBorders>
            <w:tcMar>
              <w:top w:w="8" w:type="dxa"/>
              <w:left w:w="8" w:type="dxa"/>
              <w:bottom w:w="8" w:type="dxa"/>
              <w:right w:w="8" w:type="dxa"/>
            </w:tcMar>
            <w:vAlign w:val="center"/>
          </w:tcPr>
          <w:p>
            <w:pPr>
              <w:spacing w:line="450" w:lineRule="atLeast"/>
              <w:jc w:val="center"/>
              <w:rPr>
                <w:rFonts w:ascii="宋体" w:hAnsi="宋体" w:cs="宋体"/>
                <w:color w:val="auto"/>
                <w:sz w:val="24"/>
              </w:rPr>
            </w:pPr>
            <w:r>
              <w:rPr>
                <w:rFonts w:ascii="宋体" w:hAnsi="宋体" w:cs="宋体"/>
                <w:color w:val="auto"/>
                <w:sz w:val="24"/>
              </w:rPr>
              <w:t>基础信息</w:t>
            </w:r>
          </w:p>
        </w:tc>
        <w:tc>
          <w:tcPr>
            <w:tcW w:w="5813" w:type="dxa"/>
            <w:tcBorders>
              <w:top w:val="outset" w:color="808080" w:sz="6" w:space="0"/>
              <w:left w:val="outset" w:color="808080" w:sz="6" w:space="0"/>
              <w:bottom w:val="outset" w:color="808080" w:sz="6" w:space="0"/>
              <w:right w:val="outset" w:color="808080" w:sz="6" w:space="0"/>
            </w:tcBorders>
            <w:tcMar>
              <w:top w:w="8" w:type="dxa"/>
              <w:left w:w="8" w:type="dxa"/>
              <w:bottom w:w="8" w:type="dxa"/>
              <w:right w:w="8" w:type="dxa"/>
            </w:tcMar>
            <w:vAlign w:val="center"/>
          </w:tcPr>
          <w:p>
            <w:pPr>
              <w:spacing w:line="450" w:lineRule="atLeast"/>
              <w:jc w:val="center"/>
              <w:rPr>
                <w:rFonts w:ascii="宋体" w:hAnsi="宋体" w:cs="宋体"/>
                <w:color w:val="auto"/>
                <w:sz w:val="24"/>
              </w:rPr>
            </w:pPr>
            <w:r>
              <w:rPr>
                <w:rFonts w:ascii="宋体" w:hAnsi="宋体" w:cs="宋体"/>
                <w:color w:val="auto"/>
                <w:sz w:val="24"/>
              </w:rPr>
              <w:t>评分内容与标准</w:t>
            </w:r>
          </w:p>
        </w:tc>
        <w:tc>
          <w:tcPr>
            <w:tcW w:w="324" w:type="dxa"/>
            <w:tcBorders>
              <w:top w:val="outset" w:color="808080" w:sz="6" w:space="0"/>
              <w:left w:val="outset" w:color="808080" w:sz="6" w:space="0"/>
              <w:bottom w:val="outset" w:color="808080" w:sz="6" w:space="0"/>
              <w:right w:val="inset" w:color="808080" w:sz="6" w:space="0"/>
            </w:tcBorders>
            <w:tcMar>
              <w:top w:w="8" w:type="dxa"/>
              <w:left w:w="8" w:type="dxa"/>
              <w:bottom w:w="8" w:type="dxa"/>
              <w:right w:w="8" w:type="dxa"/>
            </w:tcMar>
            <w:vAlign w:val="center"/>
          </w:tcPr>
          <w:p>
            <w:pPr>
              <w:spacing w:line="450" w:lineRule="atLeast"/>
              <w:jc w:val="center"/>
              <w:rPr>
                <w:rFonts w:ascii="宋体" w:hAnsi="宋体" w:cs="宋体"/>
                <w:color w:val="auto"/>
                <w:sz w:val="24"/>
              </w:rPr>
            </w:pPr>
            <w:r>
              <w:rPr>
                <w:rFonts w:ascii="宋体" w:hAnsi="宋体" w:cs="宋体"/>
                <w:color w:val="auto"/>
                <w:sz w:val="24"/>
              </w:rPr>
              <w:t>评分</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25" w:type="dxa"/>
            <w:vMerge w:val="restart"/>
            <w:tcBorders>
              <w:top w:val="outset" w:color="808080" w:sz="6" w:space="0"/>
              <w:left w:val="inset" w:color="808080" w:sz="6" w:space="0"/>
              <w:bottom w:val="outset" w:color="808080" w:sz="6" w:space="0"/>
              <w:right w:val="out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ascii="宋体" w:hAnsi="宋体" w:cs="宋体"/>
                <w:color w:val="auto"/>
                <w:sz w:val="24"/>
              </w:rPr>
              <w:t>1</w:t>
            </w:r>
          </w:p>
        </w:tc>
        <w:tc>
          <w:tcPr>
            <w:tcW w:w="1042" w:type="dxa"/>
            <w:vMerge w:val="restart"/>
            <w:tcBorders>
              <w:top w:val="outset" w:color="808080" w:sz="6" w:space="0"/>
              <w:left w:val="outset" w:color="808080" w:sz="6" w:space="0"/>
              <w:bottom w:val="outset" w:color="808080" w:sz="6" w:space="0"/>
              <w:right w:val="out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ascii="宋体" w:hAnsi="宋体" w:cs="宋体"/>
                <w:color w:val="auto"/>
                <w:sz w:val="24"/>
              </w:rPr>
              <w:t>企业</w:t>
            </w:r>
            <w:r>
              <w:rPr>
                <w:rFonts w:hint="eastAsia" w:ascii="宋体" w:hAnsi="宋体" w:cs="宋体"/>
                <w:color w:val="auto"/>
                <w:sz w:val="24"/>
              </w:rPr>
              <w:t>基本</w:t>
            </w:r>
            <w:r>
              <w:rPr>
                <w:rFonts w:ascii="宋体" w:hAnsi="宋体" w:cs="宋体"/>
                <w:color w:val="auto"/>
                <w:sz w:val="24"/>
              </w:rPr>
              <w:t>信息</w:t>
            </w:r>
          </w:p>
          <w:p>
            <w:pPr>
              <w:spacing w:line="450" w:lineRule="atLeast"/>
              <w:rPr>
                <w:rFonts w:ascii="宋体" w:hAnsi="宋体" w:cs="宋体"/>
                <w:color w:val="auto"/>
                <w:sz w:val="24"/>
              </w:rPr>
            </w:pPr>
            <w:r>
              <w:rPr>
                <w:rFonts w:hint="eastAsia" w:ascii="宋体" w:hAnsi="宋体" w:cs="宋体"/>
                <w:color w:val="auto"/>
                <w:sz w:val="24"/>
              </w:rPr>
              <w:t>（30分）</w:t>
            </w:r>
          </w:p>
        </w:tc>
        <w:tc>
          <w:tcPr>
            <w:tcW w:w="1331" w:type="dxa"/>
            <w:tcBorders>
              <w:top w:val="outset" w:color="808080" w:sz="6" w:space="0"/>
              <w:left w:val="outset" w:color="808080" w:sz="6" w:space="0"/>
              <w:bottom w:val="outset" w:color="808080" w:sz="6" w:space="0"/>
              <w:right w:val="out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hint="eastAsia" w:ascii="宋体" w:hAnsi="宋体" w:cs="宋体"/>
                <w:color w:val="auto"/>
                <w:sz w:val="24"/>
              </w:rPr>
              <w:t>基本</w:t>
            </w:r>
            <w:r>
              <w:rPr>
                <w:rFonts w:ascii="宋体" w:hAnsi="宋体" w:cs="宋体"/>
                <w:color w:val="auto"/>
                <w:sz w:val="24"/>
              </w:rPr>
              <w:t>信息（</w:t>
            </w:r>
            <w:r>
              <w:rPr>
                <w:rFonts w:hint="eastAsia" w:ascii="宋体" w:hAnsi="宋体" w:cs="宋体"/>
                <w:color w:val="auto"/>
                <w:sz w:val="24"/>
              </w:rPr>
              <w:t>28</w:t>
            </w:r>
            <w:r>
              <w:rPr>
                <w:rFonts w:ascii="宋体" w:hAnsi="宋体" w:cs="宋体"/>
                <w:color w:val="auto"/>
                <w:sz w:val="24"/>
              </w:rPr>
              <w:t>分）</w:t>
            </w:r>
          </w:p>
        </w:tc>
        <w:tc>
          <w:tcPr>
            <w:tcW w:w="5813" w:type="dxa"/>
            <w:tcBorders>
              <w:top w:val="outset" w:color="808080" w:sz="6" w:space="0"/>
              <w:left w:val="outset" w:color="808080" w:sz="6" w:space="0"/>
              <w:bottom w:val="outset" w:color="808080" w:sz="6" w:space="0"/>
              <w:right w:val="out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ascii="宋体" w:hAnsi="宋体" w:cs="宋体"/>
                <w:color w:val="auto"/>
                <w:sz w:val="24"/>
              </w:rPr>
              <w:t>按省物业信用平台设置，主要包括工商</w:t>
            </w:r>
            <w:r>
              <w:rPr>
                <w:rFonts w:hint="eastAsia" w:ascii="宋体" w:hAnsi="宋体" w:cs="宋体"/>
                <w:color w:val="auto"/>
                <w:sz w:val="24"/>
              </w:rPr>
              <w:t>注册</w:t>
            </w:r>
            <w:r>
              <w:rPr>
                <w:rFonts w:ascii="宋体" w:hAnsi="宋体" w:cs="宋体"/>
                <w:color w:val="auto"/>
                <w:sz w:val="24"/>
              </w:rPr>
              <w:t>登记信息、</w:t>
            </w:r>
            <w:r>
              <w:rPr>
                <w:rFonts w:hint="eastAsia" w:ascii="宋体" w:hAnsi="宋体" w:cs="宋体"/>
                <w:color w:val="auto"/>
                <w:sz w:val="24"/>
              </w:rPr>
              <w:t>区域负责人信息、</w:t>
            </w:r>
            <w:r>
              <w:rPr>
                <w:rFonts w:ascii="宋体" w:hAnsi="宋体" w:cs="宋体"/>
                <w:color w:val="auto"/>
                <w:sz w:val="24"/>
              </w:rPr>
              <w:t>物业</w:t>
            </w:r>
            <w:r>
              <w:rPr>
                <w:rFonts w:hint="eastAsia" w:ascii="宋体" w:hAnsi="宋体" w:cs="宋体"/>
                <w:color w:val="auto"/>
                <w:sz w:val="24"/>
              </w:rPr>
              <w:t>服务</w:t>
            </w:r>
            <w:r>
              <w:rPr>
                <w:rFonts w:ascii="宋体" w:hAnsi="宋体" w:cs="宋体"/>
                <w:color w:val="auto"/>
                <w:sz w:val="24"/>
              </w:rPr>
              <w:t>项目信息等，企业</w:t>
            </w:r>
            <w:r>
              <w:rPr>
                <w:rFonts w:hint="eastAsia" w:ascii="宋体" w:hAnsi="宋体" w:cs="宋体"/>
                <w:color w:val="auto"/>
                <w:sz w:val="24"/>
              </w:rPr>
              <w:t>基本信息</w:t>
            </w:r>
            <w:r>
              <w:rPr>
                <w:rFonts w:ascii="宋体" w:hAnsi="宋体" w:cs="宋体"/>
                <w:color w:val="auto"/>
                <w:sz w:val="24"/>
              </w:rPr>
              <w:t>填报及时、完整、准确，得初始赋分</w:t>
            </w:r>
            <w:r>
              <w:rPr>
                <w:rFonts w:hint="eastAsia" w:ascii="宋体" w:hAnsi="宋体" w:cs="宋体"/>
                <w:color w:val="auto"/>
                <w:sz w:val="24"/>
              </w:rPr>
              <w:t>2</w:t>
            </w:r>
            <w:r>
              <w:rPr>
                <w:rFonts w:hint="eastAsia" w:ascii="宋体" w:hAnsi="宋体" w:cs="宋体"/>
                <w:color w:val="auto"/>
                <w:sz w:val="24"/>
                <w:lang w:val="en-US" w:eastAsia="zh-CN"/>
              </w:rPr>
              <w:t>8</w:t>
            </w:r>
            <w:r>
              <w:rPr>
                <w:rFonts w:ascii="宋体" w:hAnsi="宋体" w:cs="宋体"/>
                <w:color w:val="auto"/>
                <w:sz w:val="24"/>
              </w:rPr>
              <w:t>分。每缺一项信息扣1分</w:t>
            </w:r>
            <w:r>
              <w:rPr>
                <w:rFonts w:hint="eastAsia" w:ascii="宋体" w:hAnsi="宋体" w:cs="宋体"/>
                <w:color w:val="auto"/>
                <w:sz w:val="24"/>
              </w:rPr>
              <w:t>。</w:t>
            </w:r>
          </w:p>
        </w:tc>
        <w:tc>
          <w:tcPr>
            <w:tcW w:w="324" w:type="dxa"/>
            <w:tcBorders>
              <w:top w:val="outset" w:color="808080" w:sz="6" w:space="0"/>
              <w:left w:val="outset" w:color="808080" w:sz="6" w:space="0"/>
              <w:bottom w:val="outset" w:color="808080" w:sz="6" w:space="0"/>
              <w:right w:val="inset" w:color="808080" w:sz="6" w:space="0"/>
            </w:tcBorders>
            <w:tcMar>
              <w:top w:w="8" w:type="dxa"/>
              <w:left w:w="8" w:type="dxa"/>
              <w:bottom w:w="8" w:type="dxa"/>
              <w:right w:w="8" w:type="dxa"/>
            </w:tcMar>
            <w:vAlign w:val="center"/>
          </w:tcPr>
          <w:p>
            <w:pPr>
              <w:rPr>
                <w:rFonts w:ascii="宋体" w:hAnsi="宋体" w:cs="宋体"/>
                <w:color w:val="auto"/>
                <w:sz w:val="24"/>
              </w:rPr>
            </w:pPr>
            <w:r>
              <w:rPr>
                <w:rFonts w:ascii="宋体" w:hAnsi="宋体" w:cs="宋体"/>
                <w:color w:val="auto"/>
                <w:sz w:val="24"/>
              </w:rPr>
              <w:t> </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25" w:type="dxa"/>
            <w:vMerge w:val="continue"/>
            <w:tcBorders>
              <w:top w:val="outset" w:color="808080" w:sz="6" w:space="0"/>
              <w:left w:val="inset" w:color="808080" w:sz="6" w:space="0"/>
              <w:bottom w:val="outset" w:color="808080" w:sz="6" w:space="0"/>
              <w:right w:val="outset" w:color="808080" w:sz="6" w:space="0"/>
            </w:tcBorders>
            <w:vAlign w:val="center"/>
          </w:tcPr>
          <w:p>
            <w:pPr>
              <w:rPr>
                <w:rFonts w:ascii="宋体" w:hAnsi="宋体" w:cs="宋体"/>
                <w:color w:val="auto"/>
                <w:sz w:val="24"/>
              </w:rPr>
            </w:pPr>
          </w:p>
        </w:tc>
        <w:tc>
          <w:tcPr>
            <w:tcW w:w="1042" w:type="dxa"/>
            <w:vMerge w:val="continue"/>
            <w:tcBorders>
              <w:top w:val="outset" w:color="808080" w:sz="6" w:space="0"/>
              <w:left w:val="outset" w:color="808080" w:sz="6" w:space="0"/>
              <w:bottom w:val="outset" w:color="808080" w:sz="6" w:space="0"/>
              <w:right w:val="outset" w:color="808080" w:sz="6" w:space="0"/>
            </w:tcBorders>
            <w:vAlign w:val="center"/>
          </w:tcPr>
          <w:p>
            <w:pPr>
              <w:rPr>
                <w:rFonts w:ascii="宋体" w:hAnsi="宋体" w:cs="宋体"/>
                <w:color w:val="auto"/>
                <w:sz w:val="24"/>
              </w:rPr>
            </w:pPr>
          </w:p>
        </w:tc>
        <w:tc>
          <w:tcPr>
            <w:tcW w:w="1331" w:type="dxa"/>
            <w:tcBorders>
              <w:top w:val="outset" w:color="808080" w:sz="6" w:space="0"/>
              <w:left w:val="outset" w:color="808080" w:sz="6" w:space="0"/>
              <w:bottom w:val="outset" w:color="808080" w:sz="6" w:space="0"/>
              <w:right w:val="out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ascii="宋体" w:hAnsi="宋体" w:cs="宋体"/>
                <w:color w:val="auto"/>
                <w:sz w:val="24"/>
              </w:rPr>
              <w:t>公司成立年限（</w:t>
            </w:r>
            <w:r>
              <w:rPr>
                <w:rFonts w:hint="eastAsia" w:ascii="宋体" w:hAnsi="宋体" w:cs="宋体"/>
                <w:color w:val="auto"/>
                <w:sz w:val="24"/>
              </w:rPr>
              <w:t>2</w:t>
            </w:r>
            <w:r>
              <w:rPr>
                <w:rFonts w:ascii="宋体" w:hAnsi="宋体" w:cs="宋体"/>
                <w:color w:val="auto"/>
                <w:sz w:val="24"/>
              </w:rPr>
              <w:t>分）</w:t>
            </w:r>
          </w:p>
        </w:tc>
        <w:tc>
          <w:tcPr>
            <w:tcW w:w="5813" w:type="dxa"/>
            <w:tcBorders>
              <w:top w:val="outset" w:color="808080" w:sz="6" w:space="0"/>
              <w:left w:val="outset" w:color="808080" w:sz="6" w:space="0"/>
              <w:bottom w:val="outset" w:color="808080" w:sz="6" w:space="0"/>
              <w:right w:val="out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ascii="宋体" w:hAnsi="宋体" w:cs="宋体"/>
                <w:color w:val="auto"/>
                <w:sz w:val="24"/>
              </w:rPr>
              <w:t>按公司注册时间，5年以内不得分，5-10年得</w:t>
            </w:r>
            <w:r>
              <w:rPr>
                <w:rFonts w:hint="eastAsia" w:ascii="宋体" w:hAnsi="宋体" w:cs="宋体"/>
                <w:color w:val="auto"/>
                <w:sz w:val="24"/>
              </w:rPr>
              <w:t>0.5</w:t>
            </w:r>
            <w:r>
              <w:rPr>
                <w:rFonts w:ascii="宋体" w:hAnsi="宋体" w:cs="宋体"/>
                <w:color w:val="auto"/>
                <w:sz w:val="24"/>
              </w:rPr>
              <w:t>分，10-15年得</w:t>
            </w:r>
            <w:r>
              <w:rPr>
                <w:rFonts w:hint="eastAsia" w:ascii="宋体" w:hAnsi="宋体" w:cs="宋体"/>
                <w:color w:val="auto"/>
                <w:sz w:val="24"/>
              </w:rPr>
              <w:t>1</w:t>
            </w:r>
            <w:r>
              <w:rPr>
                <w:rFonts w:ascii="宋体" w:hAnsi="宋体" w:cs="宋体"/>
                <w:color w:val="auto"/>
                <w:sz w:val="24"/>
              </w:rPr>
              <w:t>分，15-20年得</w:t>
            </w:r>
            <w:r>
              <w:rPr>
                <w:rFonts w:hint="eastAsia" w:ascii="宋体" w:hAnsi="宋体" w:cs="宋体"/>
                <w:color w:val="auto"/>
                <w:sz w:val="24"/>
              </w:rPr>
              <w:t>1.5</w:t>
            </w:r>
            <w:r>
              <w:rPr>
                <w:rFonts w:ascii="宋体" w:hAnsi="宋体" w:cs="宋体"/>
                <w:color w:val="auto"/>
                <w:sz w:val="24"/>
              </w:rPr>
              <w:t>分，20年以上得</w:t>
            </w:r>
            <w:r>
              <w:rPr>
                <w:rFonts w:hint="eastAsia" w:ascii="宋体" w:hAnsi="宋体" w:cs="宋体"/>
                <w:color w:val="auto"/>
                <w:sz w:val="24"/>
              </w:rPr>
              <w:t>2</w:t>
            </w:r>
            <w:r>
              <w:rPr>
                <w:rFonts w:ascii="宋体" w:hAnsi="宋体" w:cs="宋体"/>
                <w:color w:val="auto"/>
                <w:sz w:val="24"/>
              </w:rPr>
              <w:t>分。</w:t>
            </w:r>
          </w:p>
        </w:tc>
        <w:tc>
          <w:tcPr>
            <w:tcW w:w="324" w:type="dxa"/>
            <w:tcBorders>
              <w:top w:val="outset" w:color="808080" w:sz="6" w:space="0"/>
              <w:left w:val="outset" w:color="808080" w:sz="6" w:space="0"/>
              <w:bottom w:val="outset" w:color="808080" w:sz="6" w:space="0"/>
              <w:right w:val="inset" w:color="808080" w:sz="6" w:space="0"/>
            </w:tcBorders>
            <w:tcMar>
              <w:top w:w="8" w:type="dxa"/>
              <w:left w:w="8" w:type="dxa"/>
              <w:bottom w:w="8" w:type="dxa"/>
              <w:right w:w="8" w:type="dxa"/>
            </w:tcMar>
            <w:vAlign w:val="center"/>
          </w:tcPr>
          <w:p>
            <w:pPr>
              <w:rPr>
                <w:rFonts w:ascii="宋体" w:hAnsi="宋体" w:cs="宋体"/>
                <w:color w:val="auto"/>
                <w:sz w:val="24"/>
              </w:rPr>
            </w:pPr>
            <w:r>
              <w:rPr>
                <w:rFonts w:ascii="宋体" w:hAnsi="宋体" w:cs="宋体"/>
                <w:color w:val="auto"/>
                <w:sz w:val="24"/>
              </w:rPr>
              <w:t> </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25" w:type="dxa"/>
            <w:vMerge w:val="restart"/>
            <w:tcBorders>
              <w:top w:val="outset" w:color="808080" w:sz="6" w:space="0"/>
              <w:left w:val="inset" w:color="808080" w:sz="6" w:space="0"/>
              <w:right w:val="out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hint="eastAsia" w:ascii="宋体" w:hAnsi="宋体" w:cs="宋体"/>
                <w:color w:val="auto"/>
                <w:sz w:val="24"/>
              </w:rPr>
              <w:t>2</w:t>
            </w:r>
          </w:p>
        </w:tc>
        <w:tc>
          <w:tcPr>
            <w:tcW w:w="1042" w:type="dxa"/>
            <w:vMerge w:val="restart"/>
            <w:tcBorders>
              <w:top w:val="outset" w:color="808080" w:sz="6" w:space="0"/>
              <w:left w:val="outset" w:color="808080" w:sz="6" w:space="0"/>
              <w:right w:val="out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ascii="宋体" w:hAnsi="宋体" w:cs="宋体"/>
                <w:color w:val="auto"/>
                <w:sz w:val="24"/>
              </w:rPr>
              <w:t>经营业绩信息</w:t>
            </w:r>
          </w:p>
          <w:p>
            <w:pPr>
              <w:spacing w:line="450" w:lineRule="atLeast"/>
              <w:rPr>
                <w:rFonts w:ascii="宋体" w:hAnsi="宋体" w:cs="宋体"/>
                <w:color w:val="auto"/>
                <w:sz w:val="24"/>
              </w:rPr>
            </w:pPr>
            <w:r>
              <w:rPr>
                <w:rFonts w:hint="eastAsia" w:ascii="宋体" w:hAnsi="宋体" w:cs="宋体"/>
                <w:color w:val="auto"/>
                <w:sz w:val="24"/>
              </w:rPr>
              <w:t>（20分）</w:t>
            </w:r>
          </w:p>
        </w:tc>
        <w:tc>
          <w:tcPr>
            <w:tcW w:w="1331" w:type="dxa"/>
            <w:tcBorders>
              <w:top w:val="outset" w:color="808080" w:sz="6" w:space="0"/>
              <w:left w:val="outset" w:color="808080" w:sz="6" w:space="0"/>
              <w:bottom w:val="outset" w:color="808080" w:sz="6" w:space="0"/>
              <w:right w:val="out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ascii="宋体" w:hAnsi="宋体" w:cs="宋体"/>
                <w:color w:val="auto"/>
                <w:sz w:val="24"/>
              </w:rPr>
              <w:t>纳税</w:t>
            </w:r>
            <w:r>
              <w:rPr>
                <w:rFonts w:hint="eastAsia" w:ascii="宋体" w:hAnsi="宋体" w:cs="宋体"/>
                <w:color w:val="auto"/>
                <w:sz w:val="24"/>
              </w:rPr>
              <w:t>排名</w:t>
            </w:r>
          </w:p>
          <w:p>
            <w:pPr>
              <w:spacing w:line="450" w:lineRule="atLeast"/>
              <w:rPr>
                <w:rFonts w:ascii="宋体" w:hAnsi="宋体" w:cs="宋体"/>
                <w:color w:val="auto"/>
                <w:sz w:val="24"/>
              </w:rPr>
            </w:pPr>
            <w:r>
              <w:rPr>
                <w:rFonts w:ascii="宋体" w:hAnsi="宋体" w:cs="宋体"/>
                <w:color w:val="auto"/>
                <w:sz w:val="24"/>
              </w:rPr>
              <w:t>（</w:t>
            </w:r>
            <w:r>
              <w:rPr>
                <w:rFonts w:hint="eastAsia" w:ascii="宋体" w:hAnsi="宋体" w:cs="宋体"/>
                <w:color w:val="auto"/>
                <w:sz w:val="24"/>
                <w:lang w:val="en-US" w:eastAsia="zh-CN"/>
              </w:rPr>
              <w:t>2</w:t>
            </w:r>
            <w:r>
              <w:rPr>
                <w:rFonts w:ascii="宋体" w:hAnsi="宋体" w:cs="宋体"/>
                <w:color w:val="auto"/>
                <w:sz w:val="24"/>
              </w:rPr>
              <w:t>分）</w:t>
            </w:r>
          </w:p>
        </w:tc>
        <w:tc>
          <w:tcPr>
            <w:tcW w:w="5813" w:type="dxa"/>
            <w:tcBorders>
              <w:top w:val="outset" w:color="808080" w:sz="6" w:space="0"/>
              <w:left w:val="outset" w:color="808080" w:sz="6" w:space="0"/>
              <w:bottom w:val="outset" w:color="808080" w:sz="6" w:space="0"/>
              <w:right w:val="out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hint="eastAsia" w:ascii="宋体" w:hAnsi="宋体" w:cs="宋体"/>
                <w:color w:val="auto"/>
                <w:sz w:val="24"/>
              </w:rPr>
              <w:t>根据上一年度纳税排名进行赋分，赋分规则为（总企业数量-纳税排名+1）/总企业数量×</w:t>
            </w:r>
            <w:r>
              <w:rPr>
                <w:rFonts w:hint="eastAsia" w:ascii="宋体" w:hAnsi="宋体" w:cs="宋体"/>
                <w:color w:val="auto"/>
                <w:sz w:val="24"/>
                <w:lang w:val="en-US" w:eastAsia="zh-CN"/>
              </w:rPr>
              <w:t>2</w:t>
            </w:r>
            <w:r>
              <w:rPr>
                <w:rFonts w:hint="eastAsia" w:ascii="宋体" w:hAnsi="宋体" w:cs="宋体"/>
                <w:color w:val="auto"/>
                <w:sz w:val="24"/>
              </w:rPr>
              <w:t>的数值四舍五入后</w:t>
            </w:r>
            <w:r>
              <w:rPr>
                <w:rFonts w:hint="eastAsia" w:ascii="宋体" w:hAnsi="宋体" w:cs="宋体"/>
                <w:color w:val="auto"/>
                <w:sz w:val="24"/>
                <w:lang w:eastAsia="zh-CN"/>
              </w:rPr>
              <w:t>保留两位小数</w:t>
            </w:r>
            <w:r>
              <w:rPr>
                <w:rFonts w:hint="eastAsia" w:ascii="宋体" w:hAnsi="宋体" w:cs="宋体"/>
                <w:color w:val="auto"/>
                <w:sz w:val="24"/>
              </w:rPr>
              <w:t>。以每年度税务部门纳税排名为准。</w:t>
            </w:r>
          </w:p>
        </w:tc>
        <w:tc>
          <w:tcPr>
            <w:tcW w:w="324" w:type="dxa"/>
            <w:tcBorders>
              <w:top w:val="outset" w:color="808080" w:sz="6" w:space="0"/>
              <w:left w:val="outset" w:color="808080" w:sz="6" w:space="0"/>
              <w:bottom w:val="outset" w:color="808080" w:sz="6" w:space="0"/>
              <w:right w:val="inset" w:color="808080" w:sz="6" w:space="0"/>
            </w:tcBorders>
            <w:tcMar>
              <w:top w:w="8" w:type="dxa"/>
              <w:left w:w="8" w:type="dxa"/>
              <w:bottom w:w="8" w:type="dxa"/>
              <w:right w:w="8" w:type="dxa"/>
            </w:tcMar>
            <w:vAlign w:val="center"/>
          </w:tcPr>
          <w:p>
            <w:pPr>
              <w:rPr>
                <w:rFonts w:ascii="宋体" w:hAnsi="宋体" w:cs="宋体"/>
                <w:color w:val="auto"/>
                <w:sz w:val="24"/>
              </w:rPr>
            </w:pPr>
            <w:r>
              <w:rPr>
                <w:rFonts w:ascii="宋体" w:hAnsi="宋体" w:cs="宋体"/>
                <w:color w:val="auto"/>
                <w:sz w:val="24"/>
              </w:rPr>
              <w:t> </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25" w:type="dxa"/>
            <w:vMerge w:val="continue"/>
            <w:tcBorders>
              <w:left w:val="inset" w:color="808080" w:sz="6" w:space="0"/>
              <w:right w:val="outset" w:color="808080" w:sz="6" w:space="0"/>
            </w:tcBorders>
            <w:vAlign w:val="center"/>
          </w:tcPr>
          <w:p>
            <w:pPr>
              <w:rPr>
                <w:rFonts w:ascii="宋体" w:hAnsi="宋体" w:cs="宋体"/>
                <w:color w:val="auto"/>
                <w:sz w:val="24"/>
              </w:rPr>
            </w:pPr>
          </w:p>
        </w:tc>
        <w:tc>
          <w:tcPr>
            <w:tcW w:w="1042" w:type="dxa"/>
            <w:vMerge w:val="continue"/>
            <w:tcBorders>
              <w:left w:val="outset" w:color="808080" w:sz="6" w:space="0"/>
              <w:right w:val="outset" w:color="808080" w:sz="6" w:space="0"/>
            </w:tcBorders>
            <w:vAlign w:val="center"/>
          </w:tcPr>
          <w:p>
            <w:pPr>
              <w:rPr>
                <w:rFonts w:ascii="宋体" w:hAnsi="宋体" w:cs="宋体"/>
                <w:color w:val="auto"/>
                <w:sz w:val="24"/>
              </w:rPr>
            </w:pPr>
          </w:p>
        </w:tc>
        <w:tc>
          <w:tcPr>
            <w:tcW w:w="1331" w:type="dxa"/>
            <w:tcBorders>
              <w:top w:val="outset" w:color="808080" w:sz="6" w:space="0"/>
              <w:left w:val="outset" w:color="808080" w:sz="6" w:space="0"/>
              <w:bottom w:val="outset" w:color="808080" w:sz="6" w:space="0"/>
              <w:right w:val="out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ascii="宋体" w:hAnsi="宋体" w:cs="宋体"/>
                <w:color w:val="auto"/>
                <w:sz w:val="24"/>
              </w:rPr>
              <w:t>服务项目数量（</w:t>
            </w:r>
            <w:r>
              <w:rPr>
                <w:rFonts w:hint="eastAsia" w:ascii="宋体" w:hAnsi="宋体" w:cs="宋体"/>
                <w:color w:val="auto"/>
                <w:sz w:val="24"/>
                <w:lang w:val="en-US" w:eastAsia="zh-CN"/>
              </w:rPr>
              <w:t>5</w:t>
            </w:r>
            <w:r>
              <w:rPr>
                <w:rFonts w:ascii="宋体" w:hAnsi="宋体" w:cs="宋体"/>
                <w:color w:val="auto"/>
                <w:sz w:val="24"/>
              </w:rPr>
              <w:t>分）</w:t>
            </w:r>
          </w:p>
        </w:tc>
        <w:tc>
          <w:tcPr>
            <w:tcW w:w="5813" w:type="dxa"/>
            <w:tcBorders>
              <w:top w:val="outset" w:color="808080" w:sz="6" w:space="0"/>
              <w:left w:val="outset" w:color="808080" w:sz="6" w:space="0"/>
              <w:bottom w:val="outset" w:color="808080" w:sz="6" w:space="0"/>
              <w:right w:val="out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hint="eastAsia" w:ascii="宋体" w:hAnsi="宋体" w:cs="宋体"/>
                <w:color w:val="auto"/>
                <w:sz w:val="24"/>
              </w:rPr>
              <w:t>1</w:t>
            </w:r>
            <w:r>
              <w:rPr>
                <w:rFonts w:ascii="宋体" w:hAnsi="宋体" w:cs="宋体"/>
                <w:color w:val="auto"/>
                <w:sz w:val="24"/>
              </w:rPr>
              <w:t>个项目得</w:t>
            </w:r>
            <w:r>
              <w:rPr>
                <w:rFonts w:hint="eastAsia" w:ascii="宋体" w:hAnsi="宋体" w:cs="宋体"/>
                <w:color w:val="auto"/>
                <w:sz w:val="24"/>
                <w:lang w:val="en-US" w:eastAsia="zh-CN"/>
              </w:rPr>
              <w:t>1</w:t>
            </w:r>
            <w:r>
              <w:rPr>
                <w:rFonts w:ascii="宋体" w:hAnsi="宋体" w:cs="宋体"/>
                <w:color w:val="auto"/>
                <w:sz w:val="24"/>
              </w:rPr>
              <w:t>分，</w:t>
            </w:r>
            <w:r>
              <w:rPr>
                <w:rFonts w:hint="eastAsia" w:ascii="宋体" w:hAnsi="宋体" w:cs="宋体"/>
                <w:color w:val="auto"/>
                <w:sz w:val="24"/>
              </w:rPr>
              <w:t>2</w:t>
            </w:r>
            <w:r>
              <w:rPr>
                <w:rFonts w:ascii="宋体" w:hAnsi="宋体" w:cs="宋体"/>
                <w:color w:val="auto"/>
                <w:sz w:val="24"/>
              </w:rPr>
              <w:t>个项目得</w:t>
            </w:r>
            <w:r>
              <w:rPr>
                <w:rFonts w:hint="eastAsia" w:ascii="宋体" w:hAnsi="宋体" w:cs="宋体"/>
                <w:color w:val="auto"/>
                <w:sz w:val="24"/>
                <w:lang w:val="en-US" w:eastAsia="zh-CN"/>
              </w:rPr>
              <w:t>2</w:t>
            </w:r>
            <w:r>
              <w:rPr>
                <w:rFonts w:ascii="宋体" w:hAnsi="宋体" w:cs="宋体"/>
                <w:color w:val="auto"/>
                <w:sz w:val="24"/>
              </w:rPr>
              <w:t>分，</w:t>
            </w:r>
            <w:r>
              <w:rPr>
                <w:rFonts w:hint="eastAsia" w:ascii="宋体" w:hAnsi="宋体" w:cs="宋体"/>
                <w:color w:val="auto"/>
                <w:sz w:val="24"/>
              </w:rPr>
              <w:t>3</w:t>
            </w:r>
            <w:r>
              <w:rPr>
                <w:rFonts w:ascii="宋体" w:hAnsi="宋体" w:cs="宋体"/>
                <w:color w:val="auto"/>
                <w:sz w:val="24"/>
              </w:rPr>
              <w:t>个项目得</w:t>
            </w:r>
            <w:r>
              <w:rPr>
                <w:rFonts w:hint="eastAsia" w:ascii="宋体" w:hAnsi="宋体" w:cs="宋体"/>
                <w:color w:val="auto"/>
                <w:sz w:val="24"/>
                <w:lang w:val="en-US" w:eastAsia="zh-CN"/>
              </w:rPr>
              <w:t>3</w:t>
            </w:r>
            <w:r>
              <w:rPr>
                <w:rFonts w:ascii="宋体" w:hAnsi="宋体" w:cs="宋体"/>
                <w:color w:val="auto"/>
                <w:sz w:val="24"/>
              </w:rPr>
              <w:t>分</w:t>
            </w:r>
            <w:r>
              <w:rPr>
                <w:rFonts w:hint="eastAsia" w:ascii="宋体" w:hAnsi="宋体" w:cs="宋体"/>
                <w:color w:val="auto"/>
                <w:sz w:val="24"/>
              </w:rPr>
              <w:t>,4个项目得</w:t>
            </w:r>
            <w:r>
              <w:rPr>
                <w:rFonts w:hint="eastAsia" w:ascii="宋体" w:hAnsi="宋体" w:cs="宋体"/>
                <w:color w:val="auto"/>
                <w:sz w:val="24"/>
                <w:lang w:val="en-US" w:eastAsia="zh-CN"/>
              </w:rPr>
              <w:t>4</w:t>
            </w:r>
            <w:r>
              <w:rPr>
                <w:rFonts w:hint="eastAsia" w:ascii="宋体" w:hAnsi="宋体" w:cs="宋体"/>
                <w:color w:val="auto"/>
                <w:sz w:val="24"/>
              </w:rPr>
              <w:t>分，5个项目及以上得</w:t>
            </w:r>
            <w:r>
              <w:rPr>
                <w:rFonts w:hint="eastAsia" w:ascii="宋体" w:hAnsi="宋体" w:cs="宋体"/>
                <w:color w:val="auto"/>
                <w:sz w:val="24"/>
                <w:lang w:val="en-US" w:eastAsia="zh-CN"/>
              </w:rPr>
              <w:t>5</w:t>
            </w:r>
            <w:r>
              <w:rPr>
                <w:rFonts w:hint="eastAsia" w:ascii="宋体" w:hAnsi="宋体" w:cs="宋体"/>
                <w:color w:val="auto"/>
                <w:sz w:val="24"/>
              </w:rPr>
              <w:t>分</w:t>
            </w:r>
            <w:r>
              <w:rPr>
                <w:rFonts w:ascii="宋体" w:hAnsi="宋体" w:cs="宋体"/>
                <w:color w:val="auto"/>
                <w:sz w:val="24"/>
              </w:rPr>
              <w:t>。以物业服务合同备案数量为准</w:t>
            </w:r>
            <w:r>
              <w:rPr>
                <w:rFonts w:hint="eastAsia" w:ascii="宋体" w:hAnsi="宋体" w:cs="宋体"/>
                <w:color w:val="auto"/>
                <w:sz w:val="24"/>
              </w:rPr>
              <w:t>，</w:t>
            </w:r>
            <w:r>
              <w:rPr>
                <w:rFonts w:hint="eastAsia" w:ascii="宋体" w:hAnsi="宋体" w:cs="宋体"/>
                <w:color w:val="auto"/>
                <w:sz w:val="24"/>
                <w:lang w:eastAsia="zh-CN"/>
              </w:rPr>
              <w:t>每漏报一个项目扣</w:t>
            </w:r>
            <w:r>
              <w:rPr>
                <w:rFonts w:hint="eastAsia" w:ascii="宋体" w:hAnsi="宋体" w:cs="宋体"/>
                <w:color w:val="auto"/>
                <w:sz w:val="24"/>
                <w:lang w:val="en-US" w:eastAsia="zh-CN"/>
              </w:rPr>
              <w:t>1</w:t>
            </w:r>
            <w:r>
              <w:rPr>
                <w:rFonts w:hint="eastAsia" w:ascii="宋体" w:hAnsi="宋体" w:cs="宋体"/>
                <w:color w:val="auto"/>
                <w:sz w:val="24"/>
                <w:lang w:eastAsia="zh-CN"/>
              </w:rPr>
              <w:t>分</w:t>
            </w:r>
            <w:r>
              <w:rPr>
                <w:rFonts w:hint="eastAsia" w:ascii="宋体" w:hAnsi="宋体" w:cs="宋体"/>
                <w:color w:val="auto"/>
                <w:sz w:val="24"/>
              </w:rPr>
              <w:t>。</w:t>
            </w:r>
          </w:p>
        </w:tc>
        <w:tc>
          <w:tcPr>
            <w:tcW w:w="324" w:type="dxa"/>
            <w:tcBorders>
              <w:top w:val="outset" w:color="808080" w:sz="6" w:space="0"/>
              <w:left w:val="outset" w:color="808080" w:sz="6" w:space="0"/>
              <w:bottom w:val="outset" w:color="808080" w:sz="6" w:space="0"/>
              <w:right w:val="inset" w:color="808080" w:sz="6" w:space="0"/>
            </w:tcBorders>
            <w:tcMar>
              <w:top w:w="8" w:type="dxa"/>
              <w:left w:w="8" w:type="dxa"/>
              <w:bottom w:w="8" w:type="dxa"/>
              <w:right w:w="8" w:type="dxa"/>
            </w:tcMar>
            <w:vAlign w:val="center"/>
          </w:tcPr>
          <w:p>
            <w:pPr>
              <w:rPr>
                <w:rFonts w:ascii="宋体" w:hAnsi="宋体" w:cs="宋体"/>
                <w:color w:val="auto"/>
                <w:sz w:val="24"/>
              </w:rPr>
            </w:pPr>
            <w:r>
              <w:rPr>
                <w:rFonts w:ascii="宋体" w:hAnsi="宋体" w:cs="宋体"/>
                <w:color w:val="auto"/>
                <w:sz w:val="24"/>
              </w:rPr>
              <w:t> </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rHeight w:val="90" w:hRule="atLeast"/>
          <w:tblCellSpacing w:w="0" w:type="dxa"/>
          <w:jc w:val="center"/>
        </w:trPr>
        <w:tc>
          <w:tcPr>
            <w:tcW w:w="325" w:type="dxa"/>
            <w:vMerge w:val="continue"/>
            <w:tcBorders>
              <w:left w:val="inset" w:color="808080" w:sz="6" w:space="0"/>
              <w:right w:val="outset" w:color="808080" w:sz="6" w:space="0"/>
            </w:tcBorders>
            <w:vAlign w:val="center"/>
          </w:tcPr>
          <w:p>
            <w:pPr>
              <w:rPr>
                <w:rFonts w:ascii="宋体" w:hAnsi="宋体" w:cs="宋体"/>
                <w:color w:val="auto"/>
                <w:sz w:val="24"/>
              </w:rPr>
            </w:pPr>
          </w:p>
        </w:tc>
        <w:tc>
          <w:tcPr>
            <w:tcW w:w="1042" w:type="dxa"/>
            <w:vMerge w:val="continue"/>
            <w:tcBorders>
              <w:left w:val="outset" w:color="808080" w:sz="6" w:space="0"/>
              <w:right w:val="outset" w:color="808080" w:sz="6" w:space="0"/>
            </w:tcBorders>
            <w:vAlign w:val="center"/>
          </w:tcPr>
          <w:p>
            <w:pPr>
              <w:rPr>
                <w:rFonts w:ascii="宋体" w:hAnsi="宋体" w:cs="宋体"/>
                <w:color w:val="auto"/>
                <w:sz w:val="24"/>
              </w:rPr>
            </w:pPr>
          </w:p>
        </w:tc>
        <w:tc>
          <w:tcPr>
            <w:tcW w:w="1331" w:type="dxa"/>
            <w:tcBorders>
              <w:top w:val="outset" w:color="808080" w:sz="6" w:space="0"/>
              <w:left w:val="outset" w:color="808080" w:sz="6" w:space="0"/>
              <w:bottom w:val="outset" w:color="808080" w:sz="6" w:space="0"/>
              <w:right w:val="out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ascii="宋体" w:hAnsi="宋体" w:cs="宋体"/>
                <w:color w:val="auto"/>
                <w:sz w:val="24"/>
              </w:rPr>
              <w:t>服务项目面积（</w:t>
            </w:r>
            <w:r>
              <w:rPr>
                <w:rFonts w:hint="eastAsia" w:ascii="宋体" w:hAnsi="宋体" w:cs="宋体"/>
                <w:color w:val="auto"/>
                <w:sz w:val="24"/>
              </w:rPr>
              <w:t>3</w:t>
            </w:r>
            <w:r>
              <w:rPr>
                <w:rFonts w:ascii="宋体" w:hAnsi="宋体" w:cs="宋体"/>
                <w:color w:val="auto"/>
                <w:sz w:val="24"/>
              </w:rPr>
              <w:t>分）</w:t>
            </w:r>
          </w:p>
        </w:tc>
        <w:tc>
          <w:tcPr>
            <w:tcW w:w="5813" w:type="dxa"/>
            <w:tcBorders>
              <w:top w:val="outset" w:color="808080" w:sz="6" w:space="0"/>
              <w:left w:val="outset" w:color="808080" w:sz="6" w:space="0"/>
              <w:bottom w:val="outset" w:color="808080" w:sz="6" w:space="0"/>
              <w:right w:val="out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ascii="宋体" w:hAnsi="宋体" w:cs="宋体"/>
                <w:color w:val="auto"/>
                <w:sz w:val="24"/>
              </w:rPr>
              <w:t>低于50万平方米得</w:t>
            </w:r>
            <w:r>
              <w:rPr>
                <w:rFonts w:hint="eastAsia" w:ascii="宋体" w:hAnsi="宋体" w:cs="宋体"/>
                <w:color w:val="auto"/>
                <w:sz w:val="24"/>
              </w:rPr>
              <w:t>1</w:t>
            </w:r>
            <w:r>
              <w:rPr>
                <w:rFonts w:ascii="宋体" w:hAnsi="宋体" w:cs="宋体"/>
                <w:color w:val="auto"/>
                <w:sz w:val="24"/>
              </w:rPr>
              <w:t>分，50-200万平方米得</w:t>
            </w:r>
            <w:r>
              <w:rPr>
                <w:rFonts w:hint="eastAsia" w:ascii="宋体" w:hAnsi="宋体" w:cs="宋体"/>
                <w:color w:val="auto"/>
                <w:sz w:val="24"/>
              </w:rPr>
              <w:t>2</w:t>
            </w:r>
            <w:r>
              <w:rPr>
                <w:rFonts w:ascii="宋体" w:hAnsi="宋体" w:cs="宋体"/>
                <w:color w:val="auto"/>
                <w:sz w:val="24"/>
              </w:rPr>
              <w:t>分，</w:t>
            </w:r>
            <w:r>
              <w:rPr>
                <w:rFonts w:hint="eastAsia" w:ascii="宋体" w:hAnsi="宋体" w:cs="宋体"/>
                <w:color w:val="auto"/>
                <w:sz w:val="24"/>
              </w:rPr>
              <w:t>2</w:t>
            </w:r>
            <w:r>
              <w:rPr>
                <w:rFonts w:ascii="宋体" w:hAnsi="宋体" w:cs="宋体"/>
                <w:color w:val="auto"/>
                <w:sz w:val="24"/>
              </w:rPr>
              <w:t>00万平方米以上的得</w:t>
            </w:r>
            <w:r>
              <w:rPr>
                <w:rFonts w:hint="eastAsia" w:ascii="宋体" w:hAnsi="宋体" w:cs="宋体"/>
                <w:color w:val="auto"/>
                <w:sz w:val="24"/>
              </w:rPr>
              <w:t>3</w:t>
            </w:r>
            <w:r>
              <w:rPr>
                <w:rFonts w:ascii="宋体" w:hAnsi="宋体" w:cs="宋体"/>
                <w:color w:val="auto"/>
                <w:sz w:val="24"/>
              </w:rPr>
              <w:t>分</w:t>
            </w:r>
            <w:r>
              <w:rPr>
                <w:rFonts w:hint="eastAsia" w:ascii="宋体" w:hAnsi="宋体" w:cs="宋体"/>
                <w:color w:val="auto"/>
                <w:sz w:val="24"/>
                <w:lang w:eastAsia="zh-CN"/>
              </w:rPr>
              <w:t>。</w:t>
            </w:r>
            <w:r>
              <w:rPr>
                <w:rFonts w:ascii="宋体" w:hAnsi="宋体" w:cs="宋体"/>
                <w:color w:val="auto"/>
                <w:sz w:val="24"/>
              </w:rPr>
              <w:t>以物业</w:t>
            </w:r>
            <w:r>
              <w:rPr>
                <w:rFonts w:hint="eastAsia" w:ascii="宋体" w:hAnsi="宋体" w:cs="宋体"/>
                <w:color w:val="auto"/>
                <w:sz w:val="24"/>
                <w:lang w:eastAsia="zh-CN"/>
              </w:rPr>
              <w:t>服务</w:t>
            </w:r>
            <w:r>
              <w:rPr>
                <w:rFonts w:ascii="宋体" w:hAnsi="宋体" w:cs="宋体"/>
                <w:color w:val="auto"/>
                <w:sz w:val="24"/>
              </w:rPr>
              <w:t>合同</w:t>
            </w:r>
            <w:r>
              <w:rPr>
                <w:rFonts w:hint="eastAsia" w:ascii="宋体" w:hAnsi="宋体" w:cs="宋体"/>
                <w:color w:val="auto"/>
                <w:sz w:val="24"/>
                <w:lang w:eastAsia="zh-CN"/>
              </w:rPr>
              <w:t>约定的</w:t>
            </w:r>
            <w:r>
              <w:rPr>
                <w:rFonts w:ascii="宋体" w:hAnsi="宋体" w:cs="宋体"/>
                <w:color w:val="auto"/>
                <w:sz w:val="24"/>
              </w:rPr>
              <w:t>建筑面积为准</w:t>
            </w:r>
            <w:r>
              <w:rPr>
                <w:rFonts w:hint="eastAsia" w:ascii="宋体" w:hAnsi="宋体" w:cs="宋体"/>
                <w:color w:val="auto"/>
                <w:sz w:val="24"/>
              </w:rPr>
              <w:t>。</w:t>
            </w:r>
          </w:p>
        </w:tc>
        <w:tc>
          <w:tcPr>
            <w:tcW w:w="324" w:type="dxa"/>
            <w:tcBorders>
              <w:top w:val="outset" w:color="808080" w:sz="6" w:space="0"/>
              <w:left w:val="outset" w:color="808080" w:sz="6" w:space="0"/>
              <w:bottom w:val="outset" w:color="808080" w:sz="6" w:space="0"/>
              <w:right w:val="inset" w:color="808080" w:sz="6" w:space="0"/>
            </w:tcBorders>
            <w:tcMar>
              <w:top w:w="8" w:type="dxa"/>
              <w:left w:w="8" w:type="dxa"/>
              <w:bottom w:w="8" w:type="dxa"/>
              <w:right w:w="8" w:type="dxa"/>
            </w:tcMar>
            <w:vAlign w:val="center"/>
          </w:tcPr>
          <w:p>
            <w:pPr>
              <w:rPr>
                <w:rFonts w:ascii="宋体" w:hAnsi="宋体" w:cs="宋体"/>
                <w:color w:val="auto"/>
                <w:sz w:val="24"/>
              </w:rPr>
            </w:pPr>
            <w:r>
              <w:rPr>
                <w:rFonts w:ascii="宋体" w:hAnsi="宋体" w:cs="宋体"/>
                <w:color w:val="auto"/>
                <w:sz w:val="24"/>
              </w:rPr>
              <w:t> </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25" w:type="dxa"/>
            <w:vMerge w:val="continue"/>
            <w:tcBorders>
              <w:left w:val="inset" w:color="808080" w:sz="6" w:space="0"/>
              <w:right w:val="outset" w:color="808080" w:sz="6" w:space="0"/>
            </w:tcBorders>
            <w:vAlign w:val="center"/>
          </w:tcPr>
          <w:p>
            <w:pPr>
              <w:rPr>
                <w:rFonts w:ascii="宋体" w:hAnsi="宋体" w:cs="宋体"/>
                <w:color w:val="auto"/>
                <w:sz w:val="24"/>
              </w:rPr>
            </w:pPr>
          </w:p>
        </w:tc>
        <w:tc>
          <w:tcPr>
            <w:tcW w:w="1042" w:type="dxa"/>
            <w:vMerge w:val="continue"/>
            <w:tcBorders>
              <w:left w:val="outset" w:color="808080" w:sz="6" w:space="0"/>
              <w:right w:val="outset" w:color="808080" w:sz="6" w:space="0"/>
            </w:tcBorders>
            <w:vAlign w:val="center"/>
          </w:tcPr>
          <w:p>
            <w:pPr>
              <w:rPr>
                <w:rFonts w:ascii="宋体" w:hAnsi="宋体" w:cs="宋体"/>
                <w:color w:val="auto"/>
                <w:sz w:val="24"/>
              </w:rPr>
            </w:pPr>
          </w:p>
        </w:tc>
        <w:tc>
          <w:tcPr>
            <w:tcW w:w="1331" w:type="dxa"/>
            <w:tcBorders>
              <w:top w:val="outset" w:color="808080" w:sz="6" w:space="0"/>
              <w:left w:val="outset" w:color="808080" w:sz="6" w:space="0"/>
              <w:bottom w:val="outset" w:color="808080" w:sz="6" w:space="0"/>
              <w:right w:val="out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hint="eastAsia" w:ascii="宋体" w:hAnsi="宋体" w:cs="宋体"/>
                <w:color w:val="auto"/>
                <w:sz w:val="24"/>
                <w:lang w:eastAsia="zh-CN"/>
              </w:rPr>
              <w:t>老旧</w:t>
            </w:r>
            <w:r>
              <w:rPr>
                <w:rFonts w:hint="eastAsia" w:ascii="宋体" w:hAnsi="宋体" w:cs="宋体"/>
                <w:color w:val="auto"/>
                <w:sz w:val="24"/>
              </w:rPr>
              <w:t>小区等服务面积</w:t>
            </w:r>
          </w:p>
          <w:p>
            <w:pPr>
              <w:spacing w:line="450" w:lineRule="atLeast"/>
              <w:rPr>
                <w:rFonts w:ascii="宋体" w:hAnsi="宋体" w:cs="宋体"/>
                <w:color w:val="auto"/>
                <w:sz w:val="24"/>
              </w:rPr>
            </w:pPr>
            <w:r>
              <w:rPr>
                <w:rFonts w:hint="eastAsia" w:ascii="宋体" w:hAnsi="宋体" w:cs="宋体"/>
                <w:color w:val="auto"/>
                <w:sz w:val="24"/>
              </w:rPr>
              <w:t>（5分）</w:t>
            </w:r>
          </w:p>
        </w:tc>
        <w:tc>
          <w:tcPr>
            <w:tcW w:w="5813" w:type="dxa"/>
            <w:tcBorders>
              <w:top w:val="outset" w:color="808080" w:sz="6" w:space="0"/>
              <w:left w:val="outset" w:color="808080" w:sz="6" w:space="0"/>
              <w:bottom w:val="outset" w:color="808080" w:sz="6" w:space="0"/>
              <w:right w:val="out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hint="eastAsia" w:ascii="宋体" w:hAnsi="宋体" w:cs="宋体"/>
                <w:color w:val="auto"/>
                <w:sz w:val="24"/>
              </w:rPr>
              <w:t>正在开展开放式</w:t>
            </w:r>
            <w:r>
              <w:rPr>
                <w:rFonts w:hint="eastAsia" w:ascii="宋体" w:hAnsi="宋体" w:cs="宋体"/>
                <w:color w:val="auto"/>
                <w:sz w:val="24"/>
                <w:lang w:eastAsia="zh-CN"/>
              </w:rPr>
              <w:t>老旧</w:t>
            </w:r>
            <w:r>
              <w:rPr>
                <w:rFonts w:hint="eastAsia" w:ascii="宋体" w:hAnsi="宋体" w:cs="宋体"/>
                <w:color w:val="auto"/>
                <w:sz w:val="24"/>
              </w:rPr>
              <w:t>小区</w:t>
            </w:r>
            <w:r>
              <w:rPr>
                <w:rFonts w:hint="eastAsia" w:ascii="宋体" w:hAnsi="宋体" w:cs="宋体"/>
                <w:color w:val="auto"/>
                <w:sz w:val="24"/>
                <w:lang w:eastAsia="zh-CN"/>
              </w:rPr>
              <w:t>（</w:t>
            </w:r>
            <w:r>
              <w:rPr>
                <w:rFonts w:hint="eastAsia" w:ascii="宋体" w:hAnsi="宋体" w:cs="宋体"/>
                <w:color w:val="auto"/>
                <w:sz w:val="24"/>
                <w:lang w:val="en-US" w:eastAsia="zh-CN"/>
              </w:rPr>
              <w:t>2000年建成</w:t>
            </w:r>
            <w:r>
              <w:rPr>
                <w:rFonts w:hint="eastAsia" w:ascii="宋体" w:hAnsi="宋体" w:cs="宋体"/>
                <w:color w:val="auto"/>
                <w:sz w:val="24"/>
                <w:lang w:eastAsia="zh-CN"/>
              </w:rPr>
              <w:t>）</w:t>
            </w:r>
            <w:r>
              <w:rPr>
                <w:rFonts w:hint="eastAsia" w:ascii="宋体" w:hAnsi="宋体" w:cs="宋体"/>
                <w:color w:val="auto"/>
                <w:sz w:val="24"/>
              </w:rPr>
              <w:t>、保障房小区物业服务，服务每5万平方米加1分</w:t>
            </w:r>
            <w:r>
              <w:rPr>
                <w:rFonts w:hint="eastAsia" w:ascii="宋体" w:hAnsi="宋体" w:cs="宋体"/>
                <w:color w:val="auto"/>
                <w:sz w:val="24"/>
                <w:lang w:eastAsia="zh-CN"/>
              </w:rPr>
              <w:t>，</w:t>
            </w:r>
            <w:r>
              <w:rPr>
                <w:rFonts w:hint="eastAsia" w:ascii="宋体" w:hAnsi="宋体" w:cs="宋体"/>
                <w:color w:val="auto"/>
                <w:sz w:val="24"/>
              </w:rPr>
              <w:t>最高不超过5分。以物业服务合同</w:t>
            </w:r>
            <w:r>
              <w:rPr>
                <w:rFonts w:hint="eastAsia" w:ascii="宋体" w:hAnsi="宋体" w:cs="宋体"/>
                <w:color w:val="auto"/>
                <w:sz w:val="24"/>
                <w:lang w:eastAsia="zh-CN"/>
              </w:rPr>
              <w:t>约定</w:t>
            </w:r>
            <w:r>
              <w:rPr>
                <w:rFonts w:hint="eastAsia" w:ascii="宋体" w:hAnsi="宋体" w:cs="宋体"/>
                <w:color w:val="auto"/>
                <w:sz w:val="24"/>
              </w:rPr>
              <w:t>的建筑面积为准。</w:t>
            </w:r>
          </w:p>
        </w:tc>
        <w:tc>
          <w:tcPr>
            <w:tcW w:w="324" w:type="dxa"/>
            <w:tcBorders>
              <w:top w:val="outset" w:color="808080" w:sz="6" w:space="0"/>
              <w:left w:val="outset" w:color="808080" w:sz="6" w:space="0"/>
              <w:bottom w:val="outset" w:color="808080" w:sz="6" w:space="0"/>
              <w:right w:val="inset" w:color="808080" w:sz="6" w:space="0"/>
            </w:tcBorders>
            <w:tcMar>
              <w:top w:w="8" w:type="dxa"/>
              <w:left w:w="8" w:type="dxa"/>
              <w:bottom w:w="8" w:type="dxa"/>
              <w:right w:w="8" w:type="dxa"/>
            </w:tcMar>
            <w:vAlign w:val="center"/>
          </w:tcPr>
          <w:p>
            <w:pPr>
              <w:rPr>
                <w:rFonts w:ascii="宋体" w:hAnsi="宋体" w:cs="宋体"/>
                <w:color w:val="auto"/>
                <w:sz w:val="24"/>
              </w:rPr>
            </w:pP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25" w:type="dxa"/>
            <w:vMerge w:val="continue"/>
            <w:tcBorders>
              <w:left w:val="inset" w:color="808080" w:sz="6" w:space="0"/>
              <w:bottom w:val="outset" w:color="808080" w:sz="6" w:space="0"/>
              <w:right w:val="outset" w:color="808080" w:sz="6" w:space="0"/>
            </w:tcBorders>
            <w:vAlign w:val="center"/>
          </w:tcPr>
          <w:p>
            <w:pPr>
              <w:rPr>
                <w:rFonts w:ascii="宋体" w:hAnsi="宋体" w:cs="宋体"/>
                <w:color w:val="auto"/>
                <w:sz w:val="24"/>
              </w:rPr>
            </w:pPr>
          </w:p>
        </w:tc>
        <w:tc>
          <w:tcPr>
            <w:tcW w:w="1042" w:type="dxa"/>
            <w:vMerge w:val="continue"/>
            <w:tcBorders>
              <w:left w:val="outset" w:color="808080" w:sz="6" w:space="0"/>
              <w:bottom w:val="outset" w:color="808080" w:sz="6" w:space="0"/>
              <w:right w:val="outset" w:color="808080" w:sz="6" w:space="0"/>
            </w:tcBorders>
            <w:vAlign w:val="center"/>
          </w:tcPr>
          <w:p>
            <w:pPr>
              <w:rPr>
                <w:rFonts w:ascii="宋体" w:hAnsi="宋体" w:cs="宋体"/>
                <w:color w:val="auto"/>
                <w:sz w:val="24"/>
              </w:rPr>
            </w:pPr>
          </w:p>
        </w:tc>
        <w:tc>
          <w:tcPr>
            <w:tcW w:w="1331" w:type="dxa"/>
            <w:tcBorders>
              <w:top w:val="outset" w:color="808080" w:sz="6" w:space="0"/>
              <w:left w:val="outset" w:color="808080" w:sz="6" w:space="0"/>
              <w:bottom w:val="outset" w:color="808080" w:sz="6" w:space="0"/>
              <w:right w:val="out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hint="eastAsia" w:ascii="宋体" w:hAnsi="宋体" w:cs="宋体"/>
                <w:color w:val="auto"/>
                <w:sz w:val="24"/>
              </w:rPr>
              <w:t>项目从业人员</w:t>
            </w:r>
            <w:r>
              <w:rPr>
                <w:rFonts w:ascii="宋体" w:hAnsi="宋体" w:cs="宋体"/>
                <w:color w:val="auto"/>
                <w:sz w:val="24"/>
              </w:rPr>
              <w:t>数（</w:t>
            </w:r>
            <w:r>
              <w:rPr>
                <w:rFonts w:hint="eastAsia" w:ascii="宋体" w:hAnsi="宋体" w:cs="宋体"/>
                <w:color w:val="auto"/>
                <w:sz w:val="24"/>
              </w:rPr>
              <w:t>5</w:t>
            </w:r>
            <w:r>
              <w:rPr>
                <w:rFonts w:ascii="宋体" w:hAnsi="宋体" w:cs="宋体"/>
                <w:color w:val="auto"/>
                <w:sz w:val="24"/>
              </w:rPr>
              <w:t>分）</w:t>
            </w:r>
          </w:p>
        </w:tc>
        <w:tc>
          <w:tcPr>
            <w:tcW w:w="5813" w:type="dxa"/>
            <w:tcBorders>
              <w:top w:val="outset" w:color="808080" w:sz="6" w:space="0"/>
              <w:left w:val="outset" w:color="808080" w:sz="6" w:space="0"/>
              <w:bottom w:val="outset" w:color="808080" w:sz="6" w:space="0"/>
              <w:right w:val="out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hint="eastAsia" w:ascii="宋体" w:hAnsi="宋体" w:cs="宋体"/>
                <w:color w:val="auto"/>
                <w:sz w:val="24"/>
              </w:rPr>
              <w:t>低于50人得1分，50-</w:t>
            </w:r>
            <w:r>
              <w:rPr>
                <w:rFonts w:ascii="宋体" w:hAnsi="宋体" w:cs="宋体"/>
                <w:color w:val="auto"/>
                <w:sz w:val="24"/>
              </w:rPr>
              <w:t>100人得2分，</w:t>
            </w:r>
            <w:r>
              <w:rPr>
                <w:rFonts w:hint="eastAsia" w:ascii="宋体" w:hAnsi="宋体" w:cs="宋体"/>
                <w:color w:val="auto"/>
                <w:sz w:val="24"/>
              </w:rPr>
              <w:t>100-200人得3分</w:t>
            </w:r>
            <w:r>
              <w:rPr>
                <w:rFonts w:hint="eastAsia" w:ascii="宋体" w:hAnsi="宋体" w:cs="宋体"/>
                <w:color w:val="auto"/>
                <w:sz w:val="24"/>
                <w:lang w:eastAsia="zh-CN"/>
              </w:rPr>
              <w:t>，</w:t>
            </w:r>
            <w:r>
              <w:rPr>
                <w:rFonts w:hint="eastAsia" w:ascii="宋体" w:hAnsi="宋体" w:cs="宋体"/>
                <w:color w:val="auto"/>
                <w:sz w:val="24"/>
              </w:rPr>
              <w:t>2</w:t>
            </w:r>
            <w:r>
              <w:rPr>
                <w:rFonts w:ascii="宋体" w:hAnsi="宋体" w:cs="宋体"/>
                <w:color w:val="auto"/>
                <w:sz w:val="24"/>
              </w:rPr>
              <w:t>00-300人得</w:t>
            </w:r>
            <w:r>
              <w:rPr>
                <w:rFonts w:hint="eastAsia" w:ascii="宋体" w:hAnsi="宋体" w:cs="宋体"/>
                <w:color w:val="auto"/>
                <w:sz w:val="24"/>
              </w:rPr>
              <w:t>4</w:t>
            </w:r>
            <w:r>
              <w:rPr>
                <w:rFonts w:ascii="宋体" w:hAnsi="宋体" w:cs="宋体"/>
                <w:color w:val="auto"/>
                <w:sz w:val="24"/>
              </w:rPr>
              <w:t>分，300人以上的得</w:t>
            </w:r>
            <w:r>
              <w:rPr>
                <w:rFonts w:hint="eastAsia" w:ascii="宋体" w:hAnsi="宋体" w:cs="宋体"/>
                <w:color w:val="auto"/>
                <w:sz w:val="24"/>
              </w:rPr>
              <w:t>5</w:t>
            </w:r>
            <w:r>
              <w:rPr>
                <w:rFonts w:ascii="宋体" w:hAnsi="宋体" w:cs="宋体"/>
                <w:color w:val="auto"/>
                <w:sz w:val="24"/>
              </w:rPr>
              <w:t>分</w:t>
            </w:r>
            <w:r>
              <w:rPr>
                <w:rFonts w:hint="eastAsia" w:ascii="宋体" w:hAnsi="宋体" w:cs="宋体"/>
                <w:color w:val="auto"/>
                <w:sz w:val="24"/>
                <w:lang w:eastAsia="zh-CN"/>
              </w:rPr>
              <w:t>。</w:t>
            </w:r>
            <w:r>
              <w:rPr>
                <w:rFonts w:hint="eastAsia" w:ascii="宋体" w:hAnsi="宋体" w:cs="宋体"/>
                <w:color w:val="auto"/>
                <w:sz w:val="24"/>
              </w:rPr>
              <w:t>人数</w:t>
            </w:r>
            <w:r>
              <w:rPr>
                <w:rFonts w:ascii="宋体" w:hAnsi="宋体" w:cs="宋体"/>
                <w:color w:val="auto"/>
                <w:sz w:val="24"/>
              </w:rPr>
              <w:t>以</w:t>
            </w:r>
            <w:r>
              <w:rPr>
                <w:rFonts w:hint="eastAsia" w:ascii="宋体" w:hAnsi="宋体" w:cs="宋体"/>
                <w:color w:val="auto"/>
                <w:sz w:val="24"/>
              </w:rPr>
              <w:t>在义项目投入从业人员</w:t>
            </w:r>
            <w:r>
              <w:rPr>
                <w:rFonts w:ascii="宋体" w:hAnsi="宋体" w:cs="宋体"/>
                <w:color w:val="auto"/>
                <w:sz w:val="24"/>
              </w:rPr>
              <w:t>为准</w:t>
            </w:r>
            <w:r>
              <w:rPr>
                <w:rFonts w:hint="eastAsia" w:ascii="宋体" w:hAnsi="宋体" w:cs="宋体"/>
                <w:color w:val="auto"/>
                <w:sz w:val="24"/>
              </w:rPr>
              <w:t>。</w:t>
            </w:r>
          </w:p>
        </w:tc>
        <w:tc>
          <w:tcPr>
            <w:tcW w:w="324" w:type="dxa"/>
            <w:tcBorders>
              <w:top w:val="outset" w:color="808080" w:sz="6" w:space="0"/>
              <w:left w:val="outset" w:color="808080" w:sz="6" w:space="0"/>
              <w:bottom w:val="outset" w:color="808080" w:sz="6" w:space="0"/>
              <w:right w:val="inset" w:color="808080" w:sz="6" w:space="0"/>
            </w:tcBorders>
            <w:tcMar>
              <w:top w:w="8" w:type="dxa"/>
              <w:left w:w="8" w:type="dxa"/>
              <w:bottom w:w="8" w:type="dxa"/>
              <w:right w:w="8" w:type="dxa"/>
            </w:tcMar>
            <w:vAlign w:val="center"/>
          </w:tcPr>
          <w:p>
            <w:pPr>
              <w:rPr>
                <w:rFonts w:ascii="宋体" w:hAnsi="宋体" w:cs="宋体"/>
                <w:color w:val="auto"/>
                <w:sz w:val="24"/>
              </w:rPr>
            </w:pPr>
          </w:p>
        </w:tc>
      </w:tr>
    </w:tbl>
    <w:p>
      <w:pPr>
        <w:rPr>
          <w:rFonts w:hint="eastAsia" w:ascii="宋体" w:hAnsi="宋体" w:cs="宋体"/>
          <w:color w:val="auto"/>
          <w:sz w:val="24"/>
        </w:rPr>
      </w:pPr>
      <w:r>
        <w:rPr>
          <w:rFonts w:hint="eastAsia" w:ascii="宋体" w:hAnsi="宋体" w:cs="宋体"/>
          <w:color w:val="auto"/>
          <w:sz w:val="24"/>
        </w:rPr>
        <w:br w:type="page"/>
      </w:r>
    </w:p>
    <w:tbl>
      <w:tblPr>
        <w:tblStyle w:val="4"/>
        <w:tblW w:w="8835" w:type="dxa"/>
        <w:jc w:val="center"/>
        <w:tblCellSpacing w:w="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
      <w:tblGrid>
        <w:gridCol w:w="325"/>
        <w:gridCol w:w="1042"/>
        <w:gridCol w:w="1331"/>
        <w:gridCol w:w="5813"/>
        <w:gridCol w:w="324"/>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rHeight w:val="2836" w:hRule="atLeast"/>
          <w:tblCellSpacing w:w="0" w:type="dxa"/>
          <w:jc w:val="center"/>
        </w:trPr>
        <w:tc>
          <w:tcPr>
            <w:tcW w:w="325" w:type="dxa"/>
            <w:vMerge w:val="restart"/>
            <w:tcBorders>
              <w:top w:val="outset" w:color="808080" w:sz="6" w:space="0"/>
              <w:left w:val="inset" w:color="808080" w:sz="6" w:space="0"/>
              <w:right w:val="outset" w:color="808080" w:sz="6" w:space="0"/>
            </w:tcBorders>
            <w:vAlign w:val="center"/>
          </w:tcPr>
          <w:p>
            <w:pPr>
              <w:rPr>
                <w:rFonts w:ascii="宋体" w:hAnsi="宋体" w:cs="宋体"/>
                <w:color w:val="auto"/>
                <w:sz w:val="24"/>
              </w:rPr>
            </w:pPr>
            <w:r>
              <w:rPr>
                <w:rFonts w:hint="eastAsia" w:ascii="宋体" w:hAnsi="宋体" w:cs="宋体"/>
                <w:color w:val="auto"/>
                <w:sz w:val="24"/>
              </w:rPr>
              <w:t>3</w:t>
            </w:r>
          </w:p>
        </w:tc>
        <w:tc>
          <w:tcPr>
            <w:tcW w:w="1042" w:type="dxa"/>
            <w:vMerge w:val="restart"/>
            <w:tcBorders>
              <w:top w:val="outset" w:color="808080" w:sz="6" w:space="0"/>
              <w:left w:val="outset" w:color="808080" w:sz="6" w:space="0"/>
              <w:right w:val="outset" w:color="808080" w:sz="6" w:space="0"/>
            </w:tcBorders>
            <w:vAlign w:val="center"/>
          </w:tcPr>
          <w:p>
            <w:pPr>
              <w:rPr>
                <w:rFonts w:ascii="宋体" w:hAnsi="宋体" w:cs="宋体"/>
                <w:color w:val="auto"/>
                <w:sz w:val="24"/>
              </w:rPr>
            </w:pPr>
            <w:r>
              <w:rPr>
                <w:rFonts w:hint="eastAsia" w:ascii="宋体" w:hAnsi="宋体" w:cs="宋体"/>
                <w:color w:val="auto"/>
                <w:sz w:val="24"/>
              </w:rPr>
              <w:t>合同履约信息</w:t>
            </w:r>
          </w:p>
          <w:p>
            <w:pPr>
              <w:rPr>
                <w:rFonts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35</w:t>
            </w:r>
            <w:r>
              <w:rPr>
                <w:rFonts w:hint="eastAsia" w:ascii="宋体" w:hAnsi="宋体" w:cs="宋体"/>
                <w:color w:val="auto"/>
                <w:sz w:val="24"/>
              </w:rPr>
              <w:t>分）</w:t>
            </w:r>
          </w:p>
        </w:tc>
        <w:tc>
          <w:tcPr>
            <w:tcW w:w="1331" w:type="dxa"/>
            <w:tcBorders>
              <w:top w:val="outset" w:color="808080" w:sz="6" w:space="0"/>
              <w:left w:val="outset" w:color="808080" w:sz="6" w:space="0"/>
              <w:bottom w:val="outset" w:color="808080" w:sz="6" w:space="0"/>
              <w:right w:val="out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hint="eastAsia" w:ascii="宋体" w:hAnsi="宋体" w:cs="宋体"/>
                <w:color w:val="auto"/>
                <w:sz w:val="24"/>
              </w:rPr>
              <w:t>秩序维护管理、消防安全管理、车辆管理等。（2分）</w:t>
            </w:r>
          </w:p>
        </w:tc>
        <w:tc>
          <w:tcPr>
            <w:tcW w:w="5813" w:type="dxa"/>
            <w:tcBorders>
              <w:top w:val="outset" w:color="808080" w:sz="6" w:space="0"/>
              <w:left w:val="outset" w:color="808080" w:sz="6" w:space="0"/>
              <w:bottom w:val="outset" w:color="808080" w:sz="6" w:space="0"/>
              <w:right w:val="out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hint="eastAsia" w:ascii="宋体" w:hAnsi="宋体" w:cs="宋体"/>
                <w:color w:val="auto"/>
                <w:sz w:val="24"/>
              </w:rPr>
              <w:t>1、建立项目秩序维护管理制度的，得0.5分；被相关部门认定为现场管理不到位的 ，得0分。</w:t>
            </w:r>
          </w:p>
          <w:p>
            <w:pPr>
              <w:spacing w:line="450" w:lineRule="atLeast"/>
              <w:rPr>
                <w:rFonts w:ascii="宋体" w:hAnsi="宋体" w:cs="宋体"/>
                <w:color w:val="auto"/>
                <w:sz w:val="24"/>
              </w:rPr>
            </w:pPr>
            <w:r>
              <w:rPr>
                <w:rFonts w:hint="eastAsia" w:ascii="宋体" w:hAnsi="宋体" w:cs="宋体"/>
                <w:color w:val="auto"/>
                <w:sz w:val="24"/>
              </w:rPr>
              <w:t>2、建立项目消防安全管理制度的，得1分；出现消防事故或被相关部门认定为不达标的，得0分。</w:t>
            </w:r>
          </w:p>
          <w:p>
            <w:pPr>
              <w:spacing w:line="450" w:lineRule="atLeast"/>
              <w:rPr>
                <w:rFonts w:ascii="宋体" w:hAnsi="宋体" w:cs="宋体"/>
                <w:color w:val="auto"/>
                <w:sz w:val="24"/>
              </w:rPr>
            </w:pPr>
            <w:r>
              <w:rPr>
                <w:rFonts w:hint="eastAsia" w:ascii="宋体" w:hAnsi="宋体" w:cs="宋体"/>
                <w:color w:val="auto"/>
                <w:sz w:val="24"/>
              </w:rPr>
              <w:t>3、建立车辆管理制度的，得0.5分，被相关部门认定为现场管理不到位的，得0分。</w:t>
            </w:r>
          </w:p>
        </w:tc>
        <w:tc>
          <w:tcPr>
            <w:tcW w:w="324" w:type="dxa"/>
            <w:tcBorders>
              <w:top w:val="outset" w:color="808080" w:sz="6" w:space="0"/>
              <w:left w:val="outset" w:color="808080" w:sz="6" w:space="0"/>
              <w:bottom w:val="outset" w:color="808080" w:sz="6" w:space="0"/>
              <w:right w:val="inset" w:color="808080" w:sz="6" w:space="0"/>
            </w:tcBorders>
            <w:tcMar>
              <w:top w:w="8" w:type="dxa"/>
              <w:left w:w="8" w:type="dxa"/>
              <w:bottom w:w="8" w:type="dxa"/>
              <w:right w:w="8" w:type="dxa"/>
            </w:tcMar>
            <w:vAlign w:val="center"/>
          </w:tcPr>
          <w:p>
            <w:pPr>
              <w:rPr>
                <w:rFonts w:ascii="宋体" w:hAnsi="宋体" w:cs="宋体"/>
                <w:color w:val="auto"/>
                <w:sz w:val="24"/>
              </w:rPr>
            </w:pP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rHeight w:val="2401" w:hRule="atLeast"/>
          <w:tblCellSpacing w:w="0" w:type="dxa"/>
          <w:jc w:val="center"/>
        </w:trPr>
        <w:tc>
          <w:tcPr>
            <w:tcW w:w="325" w:type="dxa"/>
            <w:vMerge w:val="continue"/>
            <w:tcBorders>
              <w:left w:val="inset" w:color="808080" w:sz="6" w:space="0"/>
              <w:right w:val="outset" w:color="808080" w:sz="6" w:space="0"/>
            </w:tcBorders>
            <w:vAlign w:val="center"/>
          </w:tcPr>
          <w:p>
            <w:pPr>
              <w:rPr>
                <w:rFonts w:ascii="宋体" w:hAnsi="宋体" w:cs="宋体"/>
                <w:color w:val="auto"/>
                <w:sz w:val="24"/>
              </w:rPr>
            </w:pPr>
          </w:p>
        </w:tc>
        <w:tc>
          <w:tcPr>
            <w:tcW w:w="1042" w:type="dxa"/>
            <w:vMerge w:val="continue"/>
            <w:tcBorders>
              <w:left w:val="outset" w:color="808080" w:sz="6" w:space="0"/>
              <w:right w:val="outset" w:color="808080" w:sz="6" w:space="0"/>
            </w:tcBorders>
            <w:vAlign w:val="center"/>
          </w:tcPr>
          <w:p>
            <w:pPr>
              <w:rPr>
                <w:rFonts w:ascii="宋体" w:hAnsi="宋体" w:cs="宋体"/>
                <w:color w:val="auto"/>
                <w:sz w:val="24"/>
              </w:rPr>
            </w:pPr>
          </w:p>
        </w:tc>
        <w:tc>
          <w:tcPr>
            <w:tcW w:w="1331" w:type="dxa"/>
            <w:vMerge w:val="restart"/>
            <w:tcBorders>
              <w:top w:val="outset" w:color="808080" w:sz="6" w:space="0"/>
              <w:left w:val="outset" w:color="808080" w:sz="6" w:space="0"/>
              <w:right w:val="out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hint="eastAsia" w:ascii="宋体" w:hAnsi="宋体" w:cs="宋体"/>
                <w:color w:val="auto"/>
                <w:sz w:val="24"/>
              </w:rPr>
              <w:t>共</w:t>
            </w:r>
            <w:r>
              <w:rPr>
                <w:rFonts w:hint="eastAsia" w:ascii="宋体" w:hAnsi="宋体" w:cs="宋体"/>
                <w:color w:val="auto"/>
                <w:sz w:val="24"/>
                <w:lang w:eastAsia="zh-CN"/>
              </w:rPr>
              <w:t>用</w:t>
            </w:r>
            <w:r>
              <w:rPr>
                <w:rFonts w:hint="eastAsia" w:ascii="宋体" w:hAnsi="宋体" w:cs="宋体"/>
                <w:color w:val="auto"/>
                <w:sz w:val="24"/>
              </w:rPr>
              <w:t>设备设施管理。（7分）</w:t>
            </w:r>
          </w:p>
        </w:tc>
        <w:tc>
          <w:tcPr>
            <w:tcW w:w="5813" w:type="dxa"/>
            <w:tcBorders>
              <w:top w:val="outset" w:color="808080" w:sz="6" w:space="0"/>
              <w:left w:val="outset" w:color="808080" w:sz="6" w:space="0"/>
              <w:bottom w:val="outset" w:color="808080" w:sz="6" w:space="0"/>
              <w:right w:val="outset" w:color="808080" w:sz="6" w:space="0"/>
            </w:tcBorders>
            <w:tcMar>
              <w:top w:w="8" w:type="dxa"/>
              <w:left w:w="8" w:type="dxa"/>
              <w:bottom w:w="8" w:type="dxa"/>
              <w:right w:w="8" w:type="dxa"/>
            </w:tcMar>
            <w:vAlign w:val="center"/>
          </w:tcPr>
          <w:p>
            <w:pPr>
              <w:spacing w:line="450" w:lineRule="atLeast"/>
              <w:rPr>
                <w:rFonts w:hint="eastAsia" w:ascii="宋体" w:hAnsi="宋体" w:eastAsia="宋体" w:cs="宋体"/>
                <w:color w:val="auto"/>
                <w:sz w:val="24"/>
                <w:lang w:eastAsia="zh-CN"/>
              </w:rPr>
            </w:pPr>
            <w:r>
              <w:rPr>
                <w:rFonts w:hint="eastAsia" w:ascii="宋体" w:hAnsi="宋体" w:cs="宋体"/>
                <w:color w:val="auto"/>
                <w:sz w:val="24"/>
              </w:rPr>
              <w:t>共</w:t>
            </w:r>
            <w:r>
              <w:rPr>
                <w:rFonts w:hint="eastAsia" w:ascii="宋体" w:hAnsi="宋体" w:cs="宋体"/>
                <w:color w:val="auto"/>
                <w:sz w:val="24"/>
                <w:lang w:eastAsia="zh-CN"/>
              </w:rPr>
              <w:t>用</w:t>
            </w:r>
            <w:r>
              <w:rPr>
                <w:rFonts w:hint="eastAsia" w:ascii="宋体" w:hAnsi="宋体" w:cs="宋体"/>
                <w:color w:val="auto"/>
                <w:sz w:val="24"/>
              </w:rPr>
              <w:t>设备设施管理主要包括公共区域维修及保洁、绿化养护、电梯维保、供排水设施维护、消控设施及系统维护等。自行管理的，应制定相关管理制度规范，每项得0.4分；委托他人管理的，应分别签订合法有效的委托合同，每项得0.4分</w:t>
            </w:r>
            <w:r>
              <w:rPr>
                <w:rFonts w:hint="eastAsia" w:ascii="宋体" w:hAnsi="宋体" w:cs="宋体"/>
                <w:color w:val="auto"/>
                <w:sz w:val="24"/>
                <w:lang w:eastAsia="zh-CN"/>
              </w:rPr>
              <w:t>。</w:t>
            </w:r>
            <w:r>
              <w:rPr>
                <w:rFonts w:hint="eastAsia" w:ascii="宋体" w:hAnsi="宋体" w:cs="宋体"/>
                <w:color w:val="auto"/>
                <w:sz w:val="24"/>
              </w:rPr>
              <w:t>最高得2分</w:t>
            </w:r>
            <w:r>
              <w:rPr>
                <w:rFonts w:hint="eastAsia" w:ascii="宋体" w:hAnsi="宋体" w:cs="宋体"/>
                <w:color w:val="auto"/>
                <w:sz w:val="24"/>
                <w:lang w:eastAsia="zh-CN"/>
              </w:rPr>
              <w:t>。</w:t>
            </w:r>
          </w:p>
        </w:tc>
        <w:tc>
          <w:tcPr>
            <w:tcW w:w="324" w:type="dxa"/>
            <w:vMerge w:val="restart"/>
            <w:tcBorders>
              <w:top w:val="outset" w:color="808080" w:sz="6" w:space="0"/>
              <w:left w:val="outset" w:color="808080" w:sz="6" w:space="0"/>
              <w:right w:val="inset" w:color="808080" w:sz="6" w:space="0"/>
            </w:tcBorders>
            <w:tcMar>
              <w:top w:w="8" w:type="dxa"/>
              <w:left w:w="8" w:type="dxa"/>
              <w:bottom w:w="8" w:type="dxa"/>
              <w:right w:w="8" w:type="dxa"/>
            </w:tcMar>
            <w:vAlign w:val="center"/>
          </w:tcPr>
          <w:p>
            <w:pPr>
              <w:rPr>
                <w:rFonts w:ascii="宋体" w:hAnsi="宋体" w:cs="宋体"/>
                <w:color w:val="auto"/>
                <w:sz w:val="24"/>
              </w:rPr>
            </w:pP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rHeight w:val="1059" w:hRule="atLeast"/>
          <w:tblCellSpacing w:w="0" w:type="dxa"/>
          <w:jc w:val="center"/>
        </w:trPr>
        <w:tc>
          <w:tcPr>
            <w:tcW w:w="325" w:type="dxa"/>
            <w:vMerge w:val="continue"/>
            <w:tcBorders>
              <w:left w:val="inset" w:color="808080" w:sz="6" w:space="0"/>
              <w:right w:val="outset" w:color="808080" w:sz="6" w:space="0"/>
            </w:tcBorders>
            <w:vAlign w:val="center"/>
          </w:tcPr>
          <w:p>
            <w:pPr>
              <w:spacing w:line="450" w:lineRule="atLeast"/>
              <w:rPr>
                <w:color w:val="auto"/>
              </w:rPr>
            </w:pPr>
          </w:p>
        </w:tc>
        <w:tc>
          <w:tcPr>
            <w:tcW w:w="1042" w:type="dxa"/>
            <w:vMerge w:val="continue"/>
            <w:tcBorders>
              <w:left w:val="outset" w:color="808080" w:sz="6" w:space="0"/>
              <w:right w:val="outset" w:color="808080" w:sz="6" w:space="0"/>
            </w:tcBorders>
            <w:vAlign w:val="center"/>
          </w:tcPr>
          <w:p>
            <w:pPr>
              <w:spacing w:line="450" w:lineRule="atLeast"/>
              <w:rPr>
                <w:color w:val="auto"/>
              </w:rPr>
            </w:pPr>
          </w:p>
        </w:tc>
        <w:tc>
          <w:tcPr>
            <w:tcW w:w="1331" w:type="dxa"/>
            <w:vMerge w:val="continue"/>
            <w:tcBorders>
              <w:left w:val="outset" w:color="808080" w:sz="6" w:space="0"/>
              <w:bottom w:val="outset" w:color="808080" w:sz="6" w:space="0"/>
              <w:right w:val="outset" w:color="808080" w:sz="6" w:space="0"/>
            </w:tcBorders>
            <w:tcMar>
              <w:top w:w="8" w:type="dxa"/>
              <w:left w:w="8" w:type="dxa"/>
              <w:bottom w:w="8" w:type="dxa"/>
              <w:right w:w="8" w:type="dxa"/>
            </w:tcMar>
            <w:vAlign w:val="center"/>
          </w:tcPr>
          <w:p>
            <w:pPr>
              <w:spacing w:line="450" w:lineRule="atLeast"/>
              <w:rPr>
                <w:color w:val="auto"/>
              </w:rPr>
            </w:pPr>
          </w:p>
        </w:tc>
        <w:tc>
          <w:tcPr>
            <w:tcW w:w="5813" w:type="dxa"/>
            <w:tcBorders>
              <w:top w:val="outset" w:color="808080" w:sz="6" w:space="0"/>
              <w:left w:val="outset" w:color="808080" w:sz="6" w:space="0"/>
              <w:bottom w:val="outset" w:color="808080" w:sz="6" w:space="0"/>
              <w:right w:val="outset" w:color="808080" w:sz="6" w:space="0"/>
            </w:tcBorders>
            <w:tcMar>
              <w:top w:w="8" w:type="dxa"/>
              <w:left w:w="8" w:type="dxa"/>
              <w:bottom w:w="8" w:type="dxa"/>
              <w:right w:w="8" w:type="dxa"/>
            </w:tcMar>
            <w:vAlign w:val="center"/>
          </w:tcPr>
          <w:p>
            <w:pPr>
              <w:spacing w:line="450" w:lineRule="atLeast"/>
              <w:rPr>
                <w:rFonts w:hint="eastAsia" w:ascii="宋体" w:hAnsi="宋体" w:cs="宋体"/>
                <w:color w:val="auto"/>
                <w:sz w:val="24"/>
              </w:rPr>
            </w:pPr>
            <w:r>
              <w:rPr>
                <w:rFonts w:hint="eastAsia" w:ascii="宋体" w:hAnsi="宋体" w:cs="宋体"/>
                <w:color w:val="auto"/>
                <w:sz w:val="24"/>
                <w:lang w:eastAsia="zh-CN"/>
              </w:rPr>
              <w:t>自行管理且</w:t>
            </w:r>
            <w:r>
              <w:rPr>
                <w:rFonts w:hint="eastAsia" w:ascii="宋体" w:hAnsi="宋体" w:cs="宋体"/>
                <w:color w:val="auto"/>
                <w:sz w:val="24"/>
              </w:rPr>
              <w:t>有管理记录的，每项得1分</w:t>
            </w:r>
            <w:r>
              <w:rPr>
                <w:rFonts w:hint="eastAsia" w:ascii="宋体" w:hAnsi="宋体" w:cs="宋体"/>
                <w:color w:val="auto"/>
                <w:sz w:val="24"/>
                <w:lang w:eastAsia="zh-CN"/>
              </w:rPr>
              <w:t>；委托管理且</w:t>
            </w:r>
            <w:r>
              <w:rPr>
                <w:rFonts w:hint="eastAsia" w:ascii="宋体" w:hAnsi="宋体" w:cs="宋体"/>
                <w:color w:val="auto"/>
                <w:sz w:val="24"/>
              </w:rPr>
              <w:t>有监督记录的，每项得1分</w:t>
            </w:r>
            <w:r>
              <w:rPr>
                <w:rFonts w:hint="eastAsia" w:ascii="宋体" w:hAnsi="宋体" w:cs="宋体"/>
                <w:color w:val="auto"/>
                <w:sz w:val="24"/>
                <w:lang w:eastAsia="zh-CN"/>
              </w:rPr>
              <w:t>。</w:t>
            </w:r>
            <w:r>
              <w:rPr>
                <w:rFonts w:hint="eastAsia" w:ascii="宋体" w:hAnsi="宋体" w:cs="宋体"/>
                <w:color w:val="auto"/>
                <w:sz w:val="24"/>
              </w:rPr>
              <w:t>最高得5分。</w:t>
            </w:r>
          </w:p>
        </w:tc>
        <w:tc>
          <w:tcPr>
            <w:tcW w:w="324" w:type="dxa"/>
            <w:vMerge w:val="continue"/>
            <w:tcBorders>
              <w:left w:val="outset" w:color="808080" w:sz="6" w:space="0"/>
              <w:bottom w:val="outset" w:color="808080" w:sz="6" w:space="0"/>
              <w:right w:val="inset" w:color="808080" w:sz="6" w:space="0"/>
            </w:tcBorders>
            <w:tcMar>
              <w:top w:w="8" w:type="dxa"/>
              <w:left w:w="8" w:type="dxa"/>
              <w:bottom w:w="8" w:type="dxa"/>
              <w:right w:w="8" w:type="dxa"/>
            </w:tcMar>
            <w:vAlign w:val="center"/>
          </w:tcPr>
          <w:p>
            <w:pPr>
              <w:spacing w:line="450" w:lineRule="atLeast"/>
              <w:rPr>
                <w:rFonts w:hint="eastAsia" w:ascii="宋体" w:hAnsi="宋体" w:cs="宋体"/>
                <w:color w:val="auto"/>
                <w:sz w:val="24"/>
              </w:rPr>
            </w:pP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rHeight w:val="1921" w:hRule="atLeast"/>
          <w:tblCellSpacing w:w="0" w:type="dxa"/>
          <w:jc w:val="center"/>
        </w:trPr>
        <w:tc>
          <w:tcPr>
            <w:tcW w:w="325" w:type="dxa"/>
            <w:vMerge w:val="continue"/>
            <w:tcBorders>
              <w:left w:val="inset" w:color="808080" w:sz="6" w:space="0"/>
              <w:right w:val="outset" w:color="808080" w:sz="6" w:space="0"/>
            </w:tcBorders>
            <w:vAlign w:val="center"/>
          </w:tcPr>
          <w:p>
            <w:pPr>
              <w:rPr>
                <w:rFonts w:ascii="宋体" w:hAnsi="宋体" w:cs="宋体"/>
                <w:color w:val="auto"/>
                <w:sz w:val="24"/>
              </w:rPr>
            </w:pPr>
          </w:p>
        </w:tc>
        <w:tc>
          <w:tcPr>
            <w:tcW w:w="1042" w:type="dxa"/>
            <w:vMerge w:val="continue"/>
            <w:tcBorders>
              <w:left w:val="outset" w:color="808080" w:sz="6" w:space="0"/>
              <w:right w:val="outset" w:color="808080" w:sz="6" w:space="0"/>
            </w:tcBorders>
            <w:vAlign w:val="center"/>
          </w:tcPr>
          <w:p>
            <w:pPr>
              <w:rPr>
                <w:rFonts w:ascii="宋体" w:hAnsi="宋体" w:cs="宋体"/>
                <w:color w:val="auto"/>
                <w:sz w:val="24"/>
              </w:rPr>
            </w:pPr>
          </w:p>
        </w:tc>
        <w:tc>
          <w:tcPr>
            <w:tcW w:w="1331" w:type="dxa"/>
            <w:tcBorders>
              <w:top w:val="outset" w:color="808080" w:sz="6" w:space="0"/>
              <w:left w:val="outset" w:color="808080" w:sz="6" w:space="0"/>
              <w:bottom w:val="outset" w:color="808080" w:sz="6" w:space="0"/>
              <w:right w:val="out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hint="eastAsia" w:ascii="宋体" w:hAnsi="宋体" w:cs="宋体"/>
                <w:color w:val="auto"/>
                <w:sz w:val="24"/>
              </w:rPr>
              <w:t>配置足额的物业服务人员（6分）</w:t>
            </w:r>
          </w:p>
        </w:tc>
        <w:tc>
          <w:tcPr>
            <w:tcW w:w="5813" w:type="dxa"/>
            <w:tcBorders>
              <w:top w:val="outset" w:color="808080" w:sz="6" w:space="0"/>
              <w:left w:val="outset" w:color="808080" w:sz="6" w:space="0"/>
              <w:bottom w:val="outset" w:color="808080" w:sz="6" w:space="0"/>
              <w:right w:val="out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hint="eastAsia" w:ascii="宋体" w:hAnsi="宋体" w:cs="宋体"/>
                <w:color w:val="auto"/>
                <w:sz w:val="24"/>
              </w:rPr>
              <w:t>企业应按物业服务合同要求配置足额的物业服务人员，制定排班计划，并严格实施人员考勤制度，最高得6分；检查时发现无排班计划的，得0分</w:t>
            </w:r>
            <w:r>
              <w:rPr>
                <w:rFonts w:hint="eastAsia" w:ascii="宋体" w:hAnsi="宋体" w:cs="宋体"/>
                <w:color w:val="auto"/>
                <w:sz w:val="24"/>
                <w:lang w:eastAsia="zh-CN"/>
              </w:rPr>
              <w:t>；</w:t>
            </w:r>
            <w:r>
              <w:rPr>
                <w:rFonts w:hint="eastAsia" w:ascii="宋体" w:hAnsi="宋体" w:cs="宋体"/>
                <w:color w:val="auto"/>
                <w:sz w:val="24"/>
              </w:rPr>
              <w:t xml:space="preserve">有人员未按考勤制度的在岗的，每少1人少得1分。 </w:t>
            </w:r>
          </w:p>
        </w:tc>
        <w:tc>
          <w:tcPr>
            <w:tcW w:w="324" w:type="dxa"/>
            <w:tcBorders>
              <w:top w:val="outset" w:color="808080" w:sz="6" w:space="0"/>
              <w:left w:val="outset" w:color="808080" w:sz="6" w:space="0"/>
              <w:bottom w:val="outset" w:color="808080" w:sz="6" w:space="0"/>
              <w:right w:val="inset" w:color="808080" w:sz="6" w:space="0"/>
            </w:tcBorders>
            <w:tcMar>
              <w:top w:w="8" w:type="dxa"/>
              <w:left w:w="8" w:type="dxa"/>
              <w:bottom w:w="8" w:type="dxa"/>
              <w:right w:w="8" w:type="dxa"/>
            </w:tcMar>
            <w:vAlign w:val="center"/>
          </w:tcPr>
          <w:p>
            <w:pPr>
              <w:rPr>
                <w:rFonts w:ascii="宋体" w:hAnsi="宋体" w:cs="宋体"/>
                <w:color w:val="auto"/>
                <w:sz w:val="24"/>
              </w:rPr>
            </w:pP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25" w:type="dxa"/>
            <w:vMerge w:val="continue"/>
            <w:tcBorders>
              <w:left w:val="inset" w:color="808080" w:sz="6" w:space="0"/>
              <w:right w:val="outset" w:color="808080" w:sz="6" w:space="0"/>
            </w:tcBorders>
            <w:vAlign w:val="center"/>
          </w:tcPr>
          <w:p>
            <w:pPr>
              <w:rPr>
                <w:rFonts w:ascii="宋体" w:hAnsi="宋体" w:cs="宋体"/>
                <w:color w:val="auto"/>
                <w:sz w:val="24"/>
              </w:rPr>
            </w:pPr>
          </w:p>
        </w:tc>
        <w:tc>
          <w:tcPr>
            <w:tcW w:w="1042" w:type="dxa"/>
            <w:vMerge w:val="continue"/>
            <w:tcBorders>
              <w:left w:val="outset" w:color="808080" w:sz="6" w:space="0"/>
              <w:right w:val="outset" w:color="808080" w:sz="6" w:space="0"/>
            </w:tcBorders>
            <w:vAlign w:val="center"/>
          </w:tcPr>
          <w:p>
            <w:pPr>
              <w:rPr>
                <w:rFonts w:ascii="宋体" w:hAnsi="宋体" w:cs="宋体"/>
                <w:color w:val="auto"/>
                <w:sz w:val="24"/>
              </w:rPr>
            </w:pPr>
          </w:p>
        </w:tc>
        <w:tc>
          <w:tcPr>
            <w:tcW w:w="1331" w:type="dxa"/>
            <w:tcBorders>
              <w:top w:val="outset" w:color="808080" w:sz="6" w:space="0"/>
              <w:left w:val="outset" w:color="808080" w:sz="6" w:space="0"/>
              <w:bottom w:val="outset" w:color="808080" w:sz="6" w:space="0"/>
              <w:right w:val="out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hint="eastAsia" w:ascii="宋体" w:hAnsi="宋体" w:cs="宋体"/>
                <w:color w:val="auto"/>
                <w:sz w:val="24"/>
                <w:lang w:eastAsia="zh-CN"/>
              </w:rPr>
              <w:t>消防安全</w:t>
            </w:r>
            <w:r>
              <w:rPr>
                <w:rFonts w:hint="eastAsia" w:ascii="宋体" w:hAnsi="宋体" w:cs="宋体"/>
                <w:color w:val="auto"/>
                <w:sz w:val="24"/>
              </w:rPr>
              <w:t>管理（4分）</w:t>
            </w:r>
          </w:p>
        </w:tc>
        <w:tc>
          <w:tcPr>
            <w:tcW w:w="5813" w:type="dxa"/>
            <w:tcBorders>
              <w:top w:val="outset" w:color="808080" w:sz="6" w:space="0"/>
              <w:left w:val="outset" w:color="808080" w:sz="6" w:space="0"/>
              <w:bottom w:val="outset" w:color="808080" w:sz="6" w:space="0"/>
              <w:right w:val="out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hint="eastAsia" w:ascii="宋体" w:hAnsi="宋体" w:cs="宋体"/>
                <w:color w:val="auto"/>
                <w:sz w:val="24"/>
                <w:lang w:eastAsia="zh-CN"/>
              </w:rPr>
              <w:t>提供消防安全管理服务，有</w:t>
            </w:r>
            <w:r>
              <w:rPr>
                <w:rFonts w:hint="eastAsia" w:ascii="宋体" w:hAnsi="宋体" w:cs="宋体"/>
                <w:color w:val="auto"/>
                <w:sz w:val="24"/>
              </w:rPr>
              <w:t>消控室</w:t>
            </w:r>
            <w:r>
              <w:rPr>
                <w:rFonts w:hint="eastAsia" w:ascii="宋体" w:hAnsi="宋体" w:cs="宋体"/>
                <w:color w:val="auto"/>
                <w:sz w:val="24"/>
                <w:lang w:eastAsia="zh-CN"/>
              </w:rPr>
              <w:t>的</w:t>
            </w:r>
            <w:r>
              <w:rPr>
                <w:rFonts w:hint="eastAsia" w:ascii="宋体" w:hAnsi="宋体" w:cs="宋体"/>
                <w:color w:val="auto"/>
                <w:sz w:val="24"/>
              </w:rPr>
              <w:t>严格实行二十四小时双人值班制度（与消防远程监控系统联网的，可实行单人值班，值班操作人员应持消防职业资格证上岗），得4分；检查时发现未完全执行的，得0分</w:t>
            </w:r>
            <w:r>
              <w:rPr>
                <w:rFonts w:hint="eastAsia" w:ascii="宋体" w:hAnsi="宋体" w:cs="宋体"/>
                <w:color w:val="auto"/>
                <w:sz w:val="24"/>
                <w:lang w:eastAsia="zh-CN"/>
              </w:rPr>
              <w:t>；消防安全专项检查得分低于</w:t>
            </w:r>
            <w:r>
              <w:rPr>
                <w:rFonts w:hint="eastAsia" w:ascii="宋体" w:hAnsi="宋体" w:cs="宋体"/>
                <w:color w:val="auto"/>
                <w:sz w:val="24"/>
                <w:lang w:val="en-US" w:eastAsia="zh-CN"/>
              </w:rPr>
              <w:t>80分的，得0分</w:t>
            </w:r>
            <w:r>
              <w:rPr>
                <w:rFonts w:hint="eastAsia" w:ascii="宋体" w:hAnsi="宋体" w:cs="宋体"/>
                <w:color w:val="auto"/>
                <w:sz w:val="24"/>
              </w:rPr>
              <w:t>。</w:t>
            </w:r>
          </w:p>
        </w:tc>
        <w:tc>
          <w:tcPr>
            <w:tcW w:w="324" w:type="dxa"/>
            <w:tcBorders>
              <w:top w:val="outset" w:color="808080" w:sz="6" w:space="0"/>
              <w:left w:val="outset" w:color="808080" w:sz="6" w:space="0"/>
              <w:bottom w:val="outset" w:color="808080" w:sz="6" w:space="0"/>
              <w:right w:val="inset" w:color="808080" w:sz="6" w:space="0"/>
            </w:tcBorders>
            <w:tcMar>
              <w:top w:w="8" w:type="dxa"/>
              <w:left w:w="8" w:type="dxa"/>
              <w:bottom w:w="8" w:type="dxa"/>
              <w:right w:w="8" w:type="dxa"/>
            </w:tcMar>
            <w:vAlign w:val="center"/>
          </w:tcPr>
          <w:p>
            <w:pPr>
              <w:rPr>
                <w:rFonts w:ascii="宋体" w:hAnsi="宋体" w:cs="宋体"/>
                <w:color w:val="auto"/>
                <w:sz w:val="24"/>
              </w:rPr>
            </w:pP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25" w:type="dxa"/>
            <w:vMerge w:val="continue"/>
            <w:tcBorders>
              <w:left w:val="inset" w:color="808080" w:sz="6" w:space="0"/>
              <w:right w:val="outset" w:color="808080" w:sz="6" w:space="0"/>
            </w:tcBorders>
            <w:vAlign w:val="center"/>
          </w:tcPr>
          <w:p>
            <w:pPr>
              <w:rPr>
                <w:rFonts w:ascii="宋体" w:hAnsi="宋体" w:cs="宋体"/>
                <w:color w:val="auto"/>
                <w:sz w:val="24"/>
              </w:rPr>
            </w:pPr>
          </w:p>
        </w:tc>
        <w:tc>
          <w:tcPr>
            <w:tcW w:w="1042" w:type="dxa"/>
            <w:vMerge w:val="continue"/>
            <w:tcBorders>
              <w:left w:val="outset" w:color="808080" w:sz="6" w:space="0"/>
              <w:right w:val="outset" w:color="808080" w:sz="6" w:space="0"/>
            </w:tcBorders>
            <w:vAlign w:val="center"/>
          </w:tcPr>
          <w:p>
            <w:pPr>
              <w:rPr>
                <w:rFonts w:ascii="宋体" w:hAnsi="宋体" w:cs="宋体"/>
                <w:color w:val="auto"/>
                <w:sz w:val="24"/>
              </w:rPr>
            </w:pPr>
          </w:p>
        </w:tc>
        <w:tc>
          <w:tcPr>
            <w:tcW w:w="1331" w:type="dxa"/>
            <w:tcBorders>
              <w:top w:val="outset" w:color="808080" w:sz="6" w:space="0"/>
              <w:left w:val="outset" w:color="808080" w:sz="6" w:space="0"/>
              <w:bottom w:val="outset" w:color="808080" w:sz="6" w:space="0"/>
              <w:right w:val="out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hint="eastAsia" w:ascii="宋体" w:hAnsi="宋体" w:cs="宋体"/>
                <w:color w:val="auto"/>
                <w:sz w:val="24"/>
                <w:lang w:eastAsia="zh-CN"/>
              </w:rPr>
              <w:t>属地镇街评价</w:t>
            </w:r>
            <w:r>
              <w:rPr>
                <w:rFonts w:hint="eastAsia" w:ascii="宋体" w:hAnsi="宋体" w:cs="宋体"/>
                <w:color w:val="auto"/>
                <w:sz w:val="24"/>
              </w:rPr>
              <w:t>（10分）</w:t>
            </w:r>
          </w:p>
        </w:tc>
        <w:tc>
          <w:tcPr>
            <w:tcW w:w="5813" w:type="dxa"/>
            <w:tcBorders>
              <w:top w:val="outset" w:color="808080" w:sz="6" w:space="0"/>
              <w:left w:val="outset" w:color="808080" w:sz="6" w:space="0"/>
              <w:bottom w:val="outset" w:color="808080" w:sz="6" w:space="0"/>
              <w:right w:val="out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hint="eastAsia" w:ascii="宋体" w:hAnsi="宋体" w:cs="宋体"/>
                <w:color w:val="auto"/>
                <w:sz w:val="24"/>
              </w:rPr>
              <w:t>根据</w:t>
            </w:r>
            <w:r>
              <w:rPr>
                <w:rFonts w:hint="eastAsia" w:ascii="宋体" w:hAnsi="宋体" w:cs="宋体"/>
                <w:color w:val="auto"/>
                <w:sz w:val="24"/>
                <w:lang w:eastAsia="zh-CN"/>
              </w:rPr>
              <w:t>物业服务项目所在</w:t>
            </w:r>
            <w:r>
              <w:rPr>
                <w:rFonts w:hint="eastAsia" w:ascii="宋体" w:hAnsi="宋体" w:cs="宋体"/>
                <w:color w:val="auto"/>
                <w:sz w:val="24"/>
              </w:rPr>
              <w:t>属地镇街季度考核</w:t>
            </w:r>
            <w:r>
              <w:rPr>
                <w:rFonts w:hint="eastAsia" w:ascii="宋体" w:hAnsi="宋体" w:cs="宋体"/>
                <w:color w:val="auto"/>
                <w:sz w:val="24"/>
                <w:lang w:eastAsia="zh-CN"/>
              </w:rPr>
              <w:t>得分</w:t>
            </w:r>
            <w:r>
              <w:rPr>
                <w:rFonts w:hint="eastAsia" w:ascii="宋体" w:hAnsi="宋体" w:cs="宋体"/>
                <w:color w:val="auto"/>
                <w:sz w:val="24"/>
              </w:rPr>
              <w:t>情况</w:t>
            </w:r>
            <w:r>
              <w:rPr>
                <w:rFonts w:hint="eastAsia" w:ascii="宋体" w:hAnsi="宋体" w:cs="宋体"/>
                <w:color w:val="auto"/>
                <w:sz w:val="24"/>
                <w:lang w:eastAsia="zh-CN"/>
              </w:rPr>
              <w:t>赋</w:t>
            </w:r>
            <w:r>
              <w:rPr>
                <w:rFonts w:hint="eastAsia" w:ascii="宋体" w:hAnsi="宋体" w:cs="宋体"/>
                <w:color w:val="auto"/>
                <w:sz w:val="24"/>
              </w:rPr>
              <w:t>分。</w:t>
            </w:r>
          </w:p>
        </w:tc>
        <w:tc>
          <w:tcPr>
            <w:tcW w:w="324" w:type="dxa"/>
            <w:tcBorders>
              <w:top w:val="outset" w:color="808080" w:sz="6" w:space="0"/>
              <w:left w:val="outset" w:color="808080" w:sz="6" w:space="0"/>
              <w:bottom w:val="outset" w:color="808080" w:sz="6" w:space="0"/>
              <w:right w:val="inset" w:color="808080" w:sz="6" w:space="0"/>
            </w:tcBorders>
            <w:tcMar>
              <w:top w:w="8" w:type="dxa"/>
              <w:left w:w="8" w:type="dxa"/>
              <w:bottom w:w="8" w:type="dxa"/>
              <w:right w:w="8" w:type="dxa"/>
            </w:tcMar>
            <w:vAlign w:val="center"/>
          </w:tcPr>
          <w:p>
            <w:pPr>
              <w:rPr>
                <w:rFonts w:ascii="宋体" w:hAnsi="宋体" w:cs="宋体"/>
                <w:color w:val="auto"/>
                <w:sz w:val="24"/>
              </w:rPr>
            </w:pP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25" w:type="dxa"/>
            <w:vMerge w:val="continue"/>
            <w:tcBorders>
              <w:left w:val="inset" w:color="808080" w:sz="6" w:space="0"/>
              <w:bottom w:val="outset" w:color="808080" w:sz="6" w:space="0"/>
              <w:right w:val="outset" w:color="808080" w:sz="6" w:space="0"/>
            </w:tcBorders>
            <w:vAlign w:val="center"/>
          </w:tcPr>
          <w:p>
            <w:pPr>
              <w:rPr>
                <w:rFonts w:ascii="宋体" w:hAnsi="宋体" w:cs="宋体"/>
                <w:color w:val="auto"/>
                <w:sz w:val="24"/>
              </w:rPr>
            </w:pPr>
          </w:p>
        </w:tc>
        <w:tc>
          <w:tcPr>
            <w:tcW w:w="1042" w:type="dxa"/>
            <w:vMerge w:val="continue"/>
            <w:tcBorders>
              <w:left w:val="outset" w:color="808080" w:sz="6" w:space="0"/>
              <w:right w:val="outset" w:color="808080" w:sz="6" w:space="0"/>
            </w:tcBorders>
            <w:vAlign w:val="center"/>
          </w:tcPr>
          <w:p>
            <w:pPr>
              <w:rPr>
                <w:rFonts w:ascii="宋体" w:hAnsi="宋体" w:cs="宋体"/>
                <w:color w:val="auto"/>
                <w:sz w:val="24"/>
              </w:rPr>
            </w:pPr>
          </w:p>
        </w:tc>
        <w:tc>
          <w:tcPr>
            <w:tcW w:w="1331" w:type="dxa"/>
            <w:tcBorders>
              <w:top w:val="outset" w:color="808080" w:sz="6" w:space="0"/>
              <w:left w:val="outset" w:color="808080" w:sz="6" w:space="0"/>
              <w:bottom w:val="outset" w:color="808080" w:sz="6" w:space="0"/>
              <w:right w:val="out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hint="eastAsia" w:ascii="宋体" w:hAnsi="宋体" w:cs="宋体"/>
                <w:color w:val="auto"/>
                <w:sz w:val="24"/>
              </w:rPr>
              <w:t>涉及物业服务</w:t>
            </w:r>
            <w:r>
              <w:rPr>
                <w:rFonts w:hint="eastAsia" w:ascii="宋体" w:hAnsi="宋体" w:cs="宋体"/>
                <w:color w:val="auto"/>
                <w:sz w:val="24"/>
                <w:lang w:eastAsia="zh-CN"/>
              </w:rPr>
              <w:t>企业的各类</w:t>
            </w:r>
            <w:r>
              <w:rPr>
                <w:rFonts w:hint="eastAsia" w:ascii="宋体" w:hAnsi="宋体" w:cs="宋体"/>
                <w:color w:val="auto"/>
                <w:sz w:val="24"/>
              </w:rPr>
              <w:t>的信访投诉（6分）</w:t>
            </w:r>
          </w:p>
        </w:tc>
        <w:tc>
          <w:tcPr>
            <w:tcW w:w="5813" w:type="dxa"/>
            <w:tcBorders>
              <w:top w:val="outset" w:color="808080" w:sz="6" w:space="0"/>
              <w:left w:val="outset" w:color="808080" w:sz="6" w:space="0"/>
              <w:bottom w:val="outset" w:color="808080" w:sz="6" w:space="0"/>
              <w:right w:val="out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hint="eastAsia" w:ascii="宋体" w:hAnsi="宋体" w:cs="宋体"/>
                <w:color w:val="auto"/>
                <w:sz w:val="24"/>
              </w:rPr>
              <w:t>根据每</w:t>
            </w:r>
            <w:r>
              <w:rPr>
                <w:rFonts w:hint="eastAsia" w:ascii="宋体" w:hAnsi="宋体" w:cs="宋体"/>
                <w:color w:val="auto"/>
                <w:sz w:val="24"/>
                <w:lang w:eastAsia="zh-CN"/>
              </w:rPr>
              <w:t>季度</w:t>
            </w:r>
            <w:r>
              <w:rPr>
                <w:rFonts w:hint="eastAsia" w:ascii="宋体" w:hAnsi="宋体" w:cs="宋体"/>
                <w:color w:val="auto"/>
                <w:sz w:val="24"/>
              </w:rPr>
              <w:t>信访投诉统计情况，被投诉量最多的前5名企业得0分，6-10名企业得1分，11-15名企业得2分，16-20名企业得3分，21名之后的企业得4分，无投诉的企业得6分。</w:t>
            </w:r>
          </w:p>
        </w:tc>
        <w:tc>
          <w:tcPr>
            <w:tcW w:w="324" w:type="dxa"/>
            <w:tcBorders>
              <w:top w:val="outset" w:color="808080" w:sz="6" w:space="0"/>
              <w:left w:val="outset" w:color="808080" w:sz="6" w:space="0"/>
              <w:bottom w:val="outset" w:color="808080" w:sz="6" w:space="0"/>
              <w:right w:val="inset" w:color="808080" w:sz="6" w:space="0"/>
            </w:tcBorders>
            <w:tcMar>
              <w:top w:w="8" w:type="dxa"/>
              <w:left w:w="8" w:type="dxa"/>
              <w:bottom w:w="8" w:type="dxa"/>
              <w:right w:w="8" w:type="dxa"/>
            </w:tcMar>
            <w:vAlign w:val="center"/>
          </w:tcPr>
          <w:p>
            <w:pPr>
              <w:rPr>
                <w:rFonts w:ascii="宋体" w:hAnsi="宋体" w:cs="宋体"/>
                <w:color w:val="auto"/>
                <w:sz w:val="24"/>
              </w:rPr>
            </w:pP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25" w:type="dxa"/>
            <w:tcBorders>
              <w:left w:val="inset" w:color="808080" w:sz="6" w:space="0"/>
              <w:bottom w:val="outset" w:color="808080" w:sz="6" w:space="0"/>
              <w:right w:val="outset" w:color="808080" w:sz="6" w:space="0"/>
            </w:tcBorders>
            <w:vAlign w:val="center"/>
          </w:tcPr>
          <w:p>
            <w:pPr>
              <w:rPr>
                <w:rFonts w:ascii="宋体" w:hAnsi="宋体" w:cs="宋体"/>
                <w:color w:val="auto"/>
                <w:sz w:val="24"/>
              </w:rPr>
            </w:pPr>
          </w:p>
        </w:tc>
        <w:tc>
          <w:tcPr>
            <w:tcW w:w="1042" w:type="dxa"/>
            <w:vMerge w:val="restart"/>
            <w:tcBorders>
              <w:left w:val="outset" w:color="808080" w:sz="6" w:space="0"/>
              <w:right w:val="outset" w:color="808080" w:sz="6" w:space="0"/>
            </w:tcBorders>
            <w:vAlign w:val="center"/>
          </w:tcPr>
          <w:p>
            <w:pPr>
              <w:rPr>
                <w:rFonts w:hint="eastAsia" w:ascii="宋体" w:hAnsi="宋体" w:eastAsia="宋体" w:cs="宋体"/>
                <w:color w:val="auto"/>
                <w:sz w:val="24"/>
                <w:lang w:eastAsia="zh-CN"/>
              </w:rPr>
            </w:pPr>
            <w:r>
              <w:rPr>
                <w:rFonts w:hint="eastAsia" w:ascii="宋体" w:hAnsi="宋体" w:cs="宋体"/>
                <w:color w:val="auto"/>
                <w:sz w:val="24"/>
                <w:lang w:eastAsia="zh-CN"/>
              </w:rPr>
              <w:t>其他信息（</w:t>
            </w:r>
            <w:r>
              <w:rPr>
                <w:rFonts w:hint="eastAsia" w:ascii="宋体" w:hAnsi="宋体" w:cs="宋体"/>
                <w:color w:val="auto"/>
                <w:sz w:val="24"/>
                <w:lang w:val="en-US" w:eastAsia="zh-CN"/>
              </w:rPr>
              <w:t>10分</w:t>
            </w:r>
            <w:r>
              <w:rPr>
                <w:rFonts w:hint="eastAsia" w:ascii="宋体" w:hAnsi="宋体" w:cs="宋体"/>
                <w:color w:val="auto"/>
                <w:sz w:val="24"/>
                <w:lang w:eastAsia="zh-CN"/>
              </w:rPr>
              <w:t>）</w:t>
            </w:r>
          </w:p>
        </w:tc>
        <w:tc>
          <w:tcPr>
            <w:tcW w:w="1331" w:type="dxa"/>
            <w:tcBorders>
              <w:top w:val="outset" w:color="808080" w:sz="6" w:space="0"/>
              <w:left w:val="outset" w:color="808080" w:sz="6" w:space="0"/>
              <w:bottom w:val="outset" w:color="808080" w:sz="6" w:space="0"/>
              <w:right w:val="out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hint="eastAsia" w:ascii="宋体" w:hAnsi="宋体" w:cs="宋体"/>
                <w:color w:val="auto"/>
                <w:sz w:val="24"/>
              </w:rPr>
              <w:t>违规收费行为（5分）</w:t>
            </w:r>
          </w:p>
        </w:tc>
        <w:tc>
          <w:tcPr>
            <w:tcW w:w="5813" w:type="dxa"/>
            <w:tcBorders>
              <w:top w:val="outset" w:color="808080" w:sz="6" w:space="0"/>
              <w:left w:val="outset" w:color="808080" w:sz="6" w:space="0"/>
              <w:bottom w:val="outset" w:color="808080" w:sz="6" w:space="0"/>
              <w:right w:val="out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hint="eastAsia" w:ascii="宋体" w:hAnsi="宋体" w:cs="宋体"/>
                <w:color w:val="auto"/>
                <w:sz w:val="24"/>
              </w:rPr>
              <w:t>经投诉后查实或在行政部门检查时发现，存在物业服务未经合同约定擅自收取各类押金、保证金、服务费等违规收费行为的，该项目得0分；否则得5分。</w:t>
            </w:r>
          </w:p>
        </w:tc>
        <w:tc>
          <w:tcPr>
            <w:tcW w:w="324" w:type="dxa"/>
            <w:tcBorders>
              <w:top w:val="outset" w:color="808080" w:sz="6" w:space="0"/>
              <w:left w:val="outset" w:color="808080" w:sz="6" w:space="0"/>
              <w:bottom w:val="outset" w:color="808080" w:sz="6" w:space="0"/>
              <w:right w:val="inset" w:color="808080" w:sz="6" w:space="0"/>
            </w:tcBorders>
            <w:tcMar>
              <w:top w:w="8" w:type="dxa"/>
              <w:left w:w="8" w:type="dxa"/>
              <w:bottom w:w="8" w:type="dxa"/>
              <w:right w:w="8" w:type="dxa"/>
            </w:tcMar>
            <w:vAlign w:val="center"/>
          </w:tcPr>
          <w:p>
            <w:pPr>
              <w:rPr>
                <w:rFonts w:ascii="宋体" w:hAnsi="宋体" w:cs="宋体"/>
                <w:color w:val="auto"/>
                <w:sz w:val="24"/>
              </w:rPr>
            </w:pP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25" w:type="dxa"/>
            <w:tcBorders>
              <w:left w:val="inset" w:color="808080" w:sz="6" w:space="0"/>
              <w:bottom w:val="outset" w:color="808080" w:sz="6" w:space="0"/>
              <w:right w:val="outset" w:color="808080" w:sz="6" w:space="0"/>
            </w:tcBorders>
            <w:vAlign w:val="center"/>
          </w:tcPr>
          <w:p>
            <w:pPr>
              <w:rPr>
                <w:rFonts w:ascii="宋体" w:hAnsi="宋体" w:cs="宋体"/>
                <w:color w:val="auto"/>
                <w:sz w:val="24"/>
              </w:rPr>
            </w:pPr>
          </w:p>
        </w:tc>
        <w:tc>
          <w:tcPr>
            <w:tcW w:w="1042" w:type="dxa"/>
            <w:vMerge w:val="continue"/>
            <w:tcBorders>
              <w:left w:val="outset" w:color="808080" w:sz="6" w:space="0"/>
              <w:right w:val="outset" w:color="808080" w:sz="6" w:space="0"/>
            </w:tcBorders>
            <w:vAlign w:val="center"/>
          </w:tcPr>
          <w:p>
            <w:pPr>
              <w:rPr>
                <w:rFonts w:ascii="宋体" w:hAnsi="宋体" w:cs="宋体"/>
                <w:color w:val="auto"/>
                <w:sz w:val="24"/>
              </w:rPr>
            </w:pPr>
          </w:p>
        </w:tc>
        <w:tc>
          <w:tcPr>
            <w:tcW w:w="1331" w:type="dxa"/>
            <w:tcBorders>
              <w:top w:val="outset" w:color="808080" w:sz="6" w:space="0"/>
              <w:left w:val="outset" w:color="808080" w:sz="6" w:space="0"/>
              <w:bottom w:val="outset" w:color="808080" w:sz="6" w:space="0"/>
              <w:right w:val="outset" w:color="808080" w:sz="6" w:space="0"/>
            </w:tcBorders>
            <w:tcMar>
              <w:top w:w="8" w:type="dxa"/>
              <w:left w:w="8" w:type="dxa"/>
              <w:bottom w:w="8" w:type="dxa"/>
              <w:right w:w="8" w:type="dxa"/>
            </w:tcMar>
            <w:vAlign w:val="center"/>
          </w:tcPr>
          <w:p>
            <w:pPr>
              <w:spacing w:line="450" w:lineRule="atLeast"/>
              <w:rPr>
                <w:rFonts w:hint="eastAsia" w:ascii="宋体" w:hAnsi="宋体" w:cs="宋体"/>
                <w:color w:val="auto"/>
                <w:sz w:val="24"/>
                <w:lang w:eastAsia="zh-CN"/>
              </w:rPr>
            </w:pPr>
            <w:r>
              <w:rPr>
                <w:rFonts w:hint="eastAsia" w:ascii="宋体" w:hAnsi="宋体" w:cs="宋体"/>
                <w:color w:val="auto"/>
                <w:sz w:val="24"/>
                <w:lang w:eastAsia="zh-CN"/>
              </w:rPr>
              <w:t>承担社会责任（</w:t>
            </w:r>
            <w:r>
              <w:rPr>
                <w:rFonts w:hint="eastAsia" w:ascii="宋体" w:hAnsi="宋体" w:cs="宋体"/>
                <w:color w:val="auto"/>
                <w:sz w:val="24"/>
                <w:lang w:val="en-US" w:eastAsia="zh-CN"/>
              </w:rPr>
              <w:t>5分</w:t>
            </w:r>
            <w:r>
              <w:rPr>
                <w:rFonts w:hint="eastAsia" w:ascii="宋体" w:hAnsi="宋体" w:cs="宋体"/>
                <w:color w:val="auto"/>
                <w:sz w:val="24"/>
                <w:lang w:eastAsia="zh-CN"/>
              </w:rPr>
              <w:t>）</w:t>
            </w:r>
          </w:p>
        </w:tc>
        <w:tc>
          <w:tcPr>
            <w:tcW w:w="5813" w:type="dxa"/>
            <w:tcBorders>
              <w:top w:val="outset" w:color="808080" w:sz="6" w:space="0"/>
              <w:left w:val="outset" w:color="808080" w:sz="6" w:space="0"/>
              <w:bottom w:val="outset" w:color="808080" w:sz="6" w:space="0"/>
              <w:right w:val="outset" w:color="808080" w:sz="6" w:space="0"/>
            </w:tcBorders>
            <w:tcMar>
              <w:top w:w="8" w:type="dxa"/>
              <w:left w:w="8" w:type="dxa"/>
              <w:bottom w:w="8" w:type="dxa"/>
              <w:right w:w="8" w:type="dxa"/>
            </w:tcMar>
            <w:vAlign w:val="center"/>
          </w:tcPr>
          <w:p>
            <w:pPr>
              <w:spacing w:line="450" w:lineRule="atLeast"/>
              <w:rPr>
                <w:rFonts w:hint="default" w:ascii="宋体" w:hAnsi="宋体" w:cs="宋体"/>
                <w:color w:val="auto"/>
                <w:sz w:val="24"/>
                <w:lang w:val="en-US" w:eastAsia="zh-CN"/>
              </w:rPr>
            </w:pPr>
            <w:r>
              <w:rPr>
                <w:rFonts w:hint="eastAsia" w:ascii="宋体" w:hAnsi="宋体" w:cs="宋体"/>
                <w:color w:val="auto"/>
                <w:sz w:val="24"/>
                <w:lang w:eastAsia="zh-CN"/>
              </w:rPr>
              <w:t>参与各类应急工作、创建工作、疫情防控工作的，得</w:t>
            </w:r>
            <w:r>
              <w:rPr>
                <w:rFonts w:hint="eastAsia" w:ascii="宋体" w:hAnsi="宋体" w:cs="宋体"/>
                <w:color w:val="auto"/>
                <w:sz w:val="24"/>
                <w:lang w:val="en-US" w:eastAsia="zh-CN"/>
              </w:rPr>
              <w:t>5分。因工作不力被约谈的，每次少得1分。</w:t>
            </w:r>
          </w:p>
        </w:tc>
        <w:tc>
          <w:tcPr>
            <w:tcW w:w="324" w:type="dxa"/>
            <w:tcBorders>
              <w:top w:val="outset" w:color="808080" w:sz="6" w:space="0"/>
              <w:left w:val="outset" w:color="808080" w:sz="6" w:space="0"/>
              <w:bottom w:val="outset" w:color="808080" w:sz="6" w:space="0"/>
              <w:right w:val="inset" w:color="808080" w:sz="6" w:space="0"/>
            </w:tcBorders>
            <w:tcMar>
              <w:top w:w="8" w:type="dxa"/>
              <w:left w:w="8" w:type="dxa"/>
              <w:bottom w:w="8" w:type="dxa"/>
              <w:right w:w="8" w:type="dxa"/>
            </w:tcMar>
            <w:vAlign w:val="center"/>
          </w:tcPr>
          <w:p>
            <w:pPr>
              <w:rPr>
                <w:rFonts w:ascii="宋体" w:hAnsi="宋体" w:cs="宋体"/>
                <w:color w:val="auto"/>
                <w:sz w:val="24"/>
              </w:rPr>
            </w:pP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698" w:type="dxa"/>
            <w:gridSpan w:val="3"/>
            <w:tcBorders>
              <w:top w:val="outset" w:color="808080" w:sz="6" w:space="0"/>
              <w:left w:val="inset" w:color="808080" w:sz="6" w:space="0"/>
              <w:bottom w:val="outset" w:color="808080" w:sz="6" w:space="0"/>
              <w:right w:val="outset" w:color="808080" w:sz="6" w:space="0"/>
            </w:tcBorders>
            <w:tcMar>
              <w:top w:w="8" w:type="dxa"/>
              <w:left w:w="8" w:type="dxa"/>
              <w:bottom w:w="8" w:type="dxa"/>
              <w:right w:w="8" w:type="dxa"/>
            </w:tcMar>
            <w:vAlign w:val="center"/>
          </w:tcPr>
          <w:p>
            <w:pPr>
              <w:spacing w:line="450" w:lineRule="atLeast"/>
              <w:jc w:val="center"/>
              <w:rPr>
                <w:rFonts w:ascii="宋体" w:hAnsi="宋体" w:cs="宋体"/>
                <w:color w:val="auto"/>
                <w:sz w:val="24"/>
              </w:rPr>
            </w:pPr>
            <w:r>
              <w:rPr>
                <w:rFonts w:ascii="宋体" w:hAnsi="宋体" w:cs="宋体"/>
                <w:color w:val="auto"/>
                <w:sz w:val="24"/>
              </w:rPr>
              <w:t>合计</w:t>
            </w:r>
          </w:p>
        </w:tc>
        <w:tc>
          <w:tcPr>
            <w:tcW w:w="5813" w:type="dxa"/>
            <w:tcBorders>
              <w:top w:val="outset" w:color="808080" w:sz="6" w:space="0"/>
              <w:left w:val="outset" w:color="808080" w:sz="6" w:space="0"/>
              <w:bottom w:val="outset" w:color="808080" w:sz="6" w:space="0"/>
              <w:right w:val="outset" w:color="808080" w:sz="6" w:space="0"/>
            </w:tcBorders>
            <w:tcMar>
              <w:top w:w="8" w:type="dxa"/>
              <w:left w:w="8" w:type="dxa"/>
              <w:bottom w:w="8" w:type="dxa"/>
              <w:right w:w="8" w:type="dxa"/>
            </w:tcMar>
            <w:vAlign w:val="center"/>
          </w:tcPr>
          <w:p>
            <w:pPr>
              <w:rPr>
                <w:rFonts w:ascii="宋体" w:hAnsi="宋体" w:cs="宋体"/>
                <w:color w:val="auto"/>
                <w:sz w:val="24"/>
              </w:rPr>
            </w:pPr>
            <w:r>
              <w:rPr>
                <w:rFonts w:ascii="宋体" w:hAnsi="宋体" w:cs="宋体"/>
                <w:color w:val="auto"/>
                <w:sz w:val="24"/>
              </w:rPr>
              <w:t> </w:t>
            </w:r>
          </w:p>
        </w:tc>
        <w:tc>
          <w:tcPr>
            <w:tcW w:w="324" w:type="dxa"/>
            <w:tcBorders>
              <w:top w:val="outset" w:color="808080" w:sz="6" w:space="0"/>
              <w:left w:val="outset" w:color="808080" w:sz="6" w:space="0"/>
              <w:bottom w:val="outset" w:color="808080" w:sz="6" w:space="0"/>
              <w:right w:val="inset" w:color="808080" w:sz="6" w:space="0"/>
            </w:tcBorders>
            <w:tcMar>
              <w:top w:w="8" w:type="dxa"/>
              <w:left w:w="8" w:type="dxa"/>
              <w:bottom w:w="8" w:type="dxa"/>
              <w:right w:w="8" w:type="dxa"/>
            </w:tcMar>
            <w:vAlign w:val="center"/>
          </w:tcPr>
          <w:p>
            <w:pPr>
              <w:rPr>
                <w:rFonts w:ascii="宋体" w:hAnsi="宋体" w:cs="宋体"/>
                <w:color w:val="auto"/>
                <w:sz w:val="24"/>
              </w:rPr>
            </w:pPr>
            <w:r>
              <w:rPr>
                <w:rFonts w:ascii="宋体" w:hAnsi="宋体" w:cs="宋体"/>
                <w:color w:val="auto"/>
                <w:sz w:val="24"/>
              </w:rPr>
              <w:t> </w:t>
            </w:r>
          </w:p>
        </w:tc>
      </w:tr>
    </w:tbl>
    <w:p>
      <w:pPr>
        <w:widowControl/>
        <w:ind w:left="1111" w:leftChars="135" w:hanging="828" w:hangingChars="345"/>
        <w:jc w:val="left"/>
        <w:rPr>
          <w:rFonts w:ascii="宋体" w:hAnsi="宋体" w:cs="宋体"/>
          <w:color w:val="auto"/>
          <w:sz w:val="24"/>
        </w:rPr>
      </w:pPr>
      <w:r>
        <w:rPr>
          <w:rFonts w:ascii="宋体" w:hAnsi="宋体" w:cs="宋体"/>
          <w:color w:val="auto"/>
          <w:sz w:val="24"/>
        </w:rPr>
        <w:t>备注：</w:t>
      </w:r>
      <w:r>
        <w:rPr>
          <w:rFonts w:hint="eastAsia" w:ascii="宋体" w:hAnsi="宋体" w:cs="宋体"/>
          <w:color w:val="auto"/>
          <w:sz w:val="24"/>
        </w:rPr>
        <w:t>1</w:t>
      </w:r>
      <w:r>
        <w:rPr>
          <w:rFonts w:hint="eastAsia" w:ascii="宋体" w:hAnsi="宋体" w:cs="宋体"/>
          <w:color w:val="auto"/>
          <w:sz w:val="24"/>
          <w:lang w:val="en-US" w:eastAsia="zh-CN"/>
        </w:rPr>
        <w:t>.</w:t>
      </w:r>
      <w:r>
        <w:rPr>
          <w:rFonts w:hint="eastAsia" w:ascii="宋体" w:hAnsi="宋体" w:cs="宋体"/>
          <w:color w:val="auto"/>
          <w:sz w:val="24"/>
        </w:rPr>
        <w:t>合同履约信息的获得以每季度抽查的形式进行，一个评价周期内无项目被查的，按每项的平均分计算；</w:t>
      </w:r>
    </w:p>
    <w:p>
      <w:pPr>
        <w:widowControl/>
        <w:ind w:left="990" w:leftChars="420" w:hanging="108" w:hangingChars="45"/>
        <w:jc w:val="left"/>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en-US" w:eastAsia="zh-CN"/>
        </w:rPr>
        <w:t>.</w:t>
      </w:r>
      <w:r>
        <w:rPr>
          <w:rFonts w:hint="eastAsia" w:ascii="宋体" w:hAnsi="宋体" w:cs="宋体"/>
          <w:color w:val="auto"/>
          <w:sz w:val="24"/>
        </w:rPr>
        <w:t>物业服务合同内未涉及的服务内容，按该项的平均分计算；</w:t>
      </w:r>
    </w:p>
    <w:p>
      <w:pPr>
        <w:widowControl/>
        <w:ind w:left="990" w:leftChars="420" w:hanging="108" w:hangingChars="45"/>
        <w:jc w:val="left"/>
        <w:rPr>
          <w:rFonts w:ascii="宋体" w:hAnsi="宋体" w:cs="宋体"/>
          <w:color w:val="auto"/>
          <w:sz w:val="24"/>
        </w:rPr>
      </w:pPr>
      <w:r>
        <w:rPr>
          <w:rFonts w:hint="eastAsia" w:ascii="宋体" w:hAnsi="宋体" w:cs="宋体"/>
          <w:color w:val="auto"/>
          <w:sz w:val="24"/>
        </w:rPr>
        <w:t>3</w:t>
      </w:r>
      <w:r>
        <w:rPr>
          <w:rFonts w:hint="eastAsia" w:ascii="宋体" w:hAnsi="宋体" w:cs="宋体"/>
          <w:color w:val="auto"/>
          <w:sz w:val="24"/>
          <w:lang w:val="en-US" w:eastAsia="zh-CN"/>
        </w:rPr>
        <w:t>.</w:t>
      </w:r>
      <w:r>
        <w:rPr>
          <w:rFonts w:hint="eastAsia" w:ascii="宋体" w:hAnsi="宋体" w:cs="宋体"/>
          <w:color w:val="auto"/>
          <w:sz w:val="24"/>
        </w:rPr>
        <w:t>检查多个项目的，按</w:t>
      </w:r>
      <w:r>
        <w:rPr>
          <w:rFonts w:hint="eastAsia" w:ascii="宋体" w:hAnsi="宋体" w:cs="宋体"/>
          <w:color w:val="auto"/>
          <w:sz w:val="24"/>
          <w:lang w:eastAsia="zh-CN"/>
        </w:rPr>
        <w:t>公司所有项目</w:t>
      </w:r>
      <w:r>
        <w:rPr>
          <w:rFonts w:hint="eastAsia" w:ascii="宋体" w:hAnsi="宋体" w:cs="宋体"/>
          <w:color w:val="auto"/>
          <w:sz w:val="24"/>
        </w:rPr>
        <w:t>的</w:t>
      </w:r>
      <w:r>
        <w:rPr>
          <w:rFonts w:hint="eastAsia" w:ascii="宋体" w:hAnsi="宋体" w:cs="宋体"/>
          <w:color w:val="auto"/>
          <w:sz w:val="24"/>
          <w:lang w:eastAsia="zh-CN"/>
        </w:rPr>
        <w:t>单项</w:t>
      </w:r>
      <w:r>
        <w:rPr>
          <w:rFonts w:hint="eastAsia" w:ascii="宋体" w:hAnsi="宋体" w:cs="宋体"/>
          <w:color w:val="auto"/>
          <w:sz w:val="24"/>
        </w:rPr>
        <w:t>最低分计算；</w:t>
      </w:r>
    </w:p>
    <w:p>
      <w:pPr>
        <w:widowControl/>
        <w:ind w:left="990" w:leftChars="420" w:hanging="108" w:hangingChars="45"/>
        <w:jc w:val="left"/>
        <w:rPr>
          <w:rFonts w:hint="eastAsia" w:ascii="宋体" w:hAnsi="宋体" w:cs="宋体"/>
          <w:color w:val="auto"/>
          <w:sz w:val="24"/>
        </w:rPr>
      </w:pPr>
      <w:r>
        <w:rPr>
          <w:rFonts w:hint="eastAsia" w:ascii="宋体" w:hAnsi="宋体" w:cs="宋体"/>
          <w:color w:val="auto"/>
          <w:sz w:val="24"/>
        </w:rPr>
        <w:t>4</w:t>
      </w:r>
      <w:r>
        <w:rPr>
          <w:rFonts w:hint="eastAsia" w:ascii="宋体" w:hAnsi="宋体" w:cs="宋体"/>
          <w:color w:val="auto"/>
          <w:sz w:val="24"/>
          <w:lang w:val="en-US" w:eastAsia="zh-CN"/>
        </w:rPr>
        <w:t>.</w:t>
      </w:r>
      <w:r>
        <w:rPr>
          <w:rFonts w:hint="eastAsia" w:ascii="宋体" w:hAnsi="宋体" w:cs="宋体"/>
          <w:color w:val="auto"/>
          <w:sz w:val="24"/>
        </w:rPr>
        <w:t>镇街的季度考核情况，按</w:t>
      </w:r>
      <w:r>
        <w:rPr>
          <w:rFonts w:hint="eastAsia" w:ascii="宋体" w:hAnsi="宋体" w:cs="宋体"/>
          <w:color w:val="auto"/>
          <w:sz w:val="24"/>
          <w:lang w:eastAsia="zh-CN"/>
        </w:rPr>
        <w:t>公司所有</w:t>
      </w:r>
      <w:r>
        <w:rPr>
          <w:rFonts w:hint="eastAsia" w:ascii="宋体" w:hAnsi="宋体" w:cs="宋体"/>
          <w:color w:val="auto"/>
          <w:sz w:val="24"/>
        </w:rPr>
        <w:t>项目</w:t>
      </w:r>
      <w:r>
        <w:rPr>
          <w:rFonts w:hint="eastAsia" w:ascii="宋体" w:hAnsi="宋体" w:cs="宋体"/>
          <w:color w:val="auto"/>
          <w:sz w:val="24"/>
          <w:lang w:eastAsia="zh-CN"/>
        </w:rPr>
        <w:t>的平均分</w:t>
      </w:r>
      <w:r>
        <w:rPr>
          <w:rFonts w:hint="eastAsia" w:ascii="宋体" w:hAnsi="宋体" w:cs="宋体"/>
          <w:color w:val="auto"/>
          <w:sz w:val="24"/>
        </w:rPr>
        <w:t>计算；</w:t>
      </w:r>
    </w:p>
    <w:p>
      <w:pPr>
        <w:widowControl/>
        <w:ind w:left="990" w:leftChars="420" w:hanging="108" w:hangingChars="45"/>
        <w:jc w:val="left"/>
        <w:rPr>
          <w:rFonts w:hint="default" w:ascii="宋体" w:hAnsi="宋体" w:eastAsia="宋体" w:cs="宋体"/>
          <w:color w:val="auto"/>
          <w:sz w:val="24"/>
          <w:lang w:val="en-US" w:eastAsia="zh-CN"/>
        </w:rPr>
      </w:pPr>
      <w:r>
        <w:rPr>
          <w:rFonts w:hint="eastAsia" w:ascii="宋体" w:hAnsi="宋体" w:cs="宋体"/>
          <w:color w:val="auto"/>
          <w:sz w:val="24"/>
          <w:lang w:val="en-US" w:eastAsia="zh-CN"/>
        </w:rPr>
        <w:t>5.合同履约信息的应用规则为：上一年4季度与本年1季度为一个计分周期，信用等级评定在第2季度内完成，用于本年3、4季度信用应用；本年2、3季度为一个计分周期，信用等级评定在第4季度完成，用于下一年1、2季度信用应用。</w:t>
      </w:r>
    </w:p>
    <w:p>
      <w:pPr>
        <w:widowControl/>
        <w:jc w:val="left"/>
        <w:rPr>
          <w:rFonts w:ascii="宋体" w:hAnsi="宋体" w:cs="宋体"/>
          <w:color w:val="auto"/>
          <w:sz w:val="24"/>
        </w:rPr>
      </w:pPr>
      <w:r>
        <w:rPr>
          <w:rFonts w:ascii="宋体" w:hAnsi="宋体" w:cs="宋体"/>
          <w:color w:val="auto"/>
          <w:sz w:val="24"/>
        </w:rPr>
        <w:br w:type="page"/>
      </w:r>
    </w:p>
    <w:p>
      <w:pPr>
        <w:widowControl/>
        <w:jc w:val="center"/>
        <w:rPr>
          <w:rFonts w:ascii="宋体" w:hAnsi="宋体" w:cs="宋体"/>
          <w:b/>
          <w:bCs/>
          <w:color w:val="auto"/>
          <w:sz w:val="24"/>
        </w:rPr>
      </w:pPr>
      <w:r>
        <w:rPr>
          <w:rFonts w:hint="eastAsia" w:ascii="宋体" w:hAnsi="宋体" w:cs="宋体"/>
          <w:b/>
          <w:bCs/>
          <w:color w:val="auto"/>
          <w:sz w:val="32"/>
          <w:szCs w:val="32"/>
          <w:lang w:eastAsia="zh-CN"/>
        </w:rPr>
        <w:t>二、</w:t>
      </w:r>
      <w:r>
        <w:rPr>
          <w:rFonts w:ascii="宋体" w:hAnsi="宋体" w:cs="宋体"/>
          <w:b/>
          <w:bCs/>
          <w:color w:val="auto"/>
          <w:sz w:val="32"/>
          <w:szCs w:val="32"/>
        </w:rPr>
        <w:t>良好信息</w:t>
      </w:r>
    </w:p>
    <w:tbl>
      <w:tblPr>
        <w:tblStyle w:val="4"/>
        <w:tblW w:w="8835" w:type="dxa"/>
        <w:jc w:val="center"/>
        <w:tblCellSpacing w:w="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
      <w:tblGrid>
        <w:gridCol w:w="350"/>
        <w:gridCol w:w="1100"/>
        <w:gridCol w:w="1083"/>
        <w:gridCol w:w="5952"/>
        <w:gridCol w:w="350"/>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PrEx>
        <w:trPr>
          <w:tblCellSpacing w:w="0" w:type="dxa"/>
          <w:jc w:val="center"/>
        </w:trPr>
        <w:tc>
          <w:tcPr>
            <w:tcW w:w="350"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jc w:val="center"/>
              <w:rPr>
                <w:rFonts w:ascii="宋体" w:hAnsi="宋体" w:cs="宋体"/>
                <w:color w:val="auto"/>
                <w:sz w:val="24"/>
              </w:rPr>
            </w:pPr>
            <w:r>
              <w:rPr>
                <w:rFonts w:ascii="宋体" w:hAnsi="宋体" w:cs="宋体"/>
                <w:color w:val="auto"/>
                <w:sz w:val="24"/>
              </w:rPr>
              <w:t>序号</w:t>
            </w:r>
          </w:p>
        </w:tc>
        <w:tc>
          <w:tcPr>
            <w:tcW w:w="2183" w:type="dxa"/>
            <w:gridSpan w:val="2"/>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jc w:val="center"/>
              <w:rPr>
                <w:rFonts w:ascii="宋体" w:hAnsi="宋体" w:cs="宋体"/>
                <w:color w:val="auto"/>
                <w:sz w:val="24"/>
              </w:rPr>
            </w:pPr>
            <w:r>
              <w:rPr>
                <w:rFonts w:ascii="宋体" w:hAnsi="宋体" w:cs="宋体"/>
                <w:color w:val="auto"/>
                <w:sz w:val="24"/>
              </w:rPr>
              <w:t>良好信息</w:t>
            </w:r>
          </w:p>
        </w:tc>
        <w:tc>
          <w:tcPr>
            <w:tcW w:w="5952"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jc w:val="center"/>
              <w:rPr>
                <w:rFonts w:ascii="宋体" w:hAnsi="宋体" w:cs="宋体"/>
                <w:color w:val="auto"/>
                <w:sz w:val="24"/>
              </w:rPr>
            </w:pPr>
            <w:r>
              <w:rPr>
                <w:rFonts w:ascii="宋体" w:hAnsi="宋体" w:cs="宋体"/>
                <w:color w:val="auto"/>
                <w:sz w:val="24"/>
              </w:rPr>
              <w:t>评分内容与标准</w:t>
            </w:r>
          </w:p>
        </w:tc>
        <w:tc>
          <w:tcPr>
            <w:tcW w:w="350"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jc w:val="center"/>
              <w:rPr>
                <w:rFonts w:ascii="宋体" w:hAnsi="宋体" w:cs="宋体"/>
                <w:color w:val="auto"/>
                <w:sz w:val="24"/>
              </w:rPr>
            </w:pPr>
            <w:r>
              <w:rPr>
                <w:rFonts w:ascii="宋体" w:hAnsi="宋体" w:cs="宋体"/>
                <w:color w:val="auto"/>
                <w:sz w:val="24"/>
              </w:rPr>
              <w:t>评分</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50" w:type="dxa"/>
            <w:vMerge w:val="restart"/>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jc w:val="center"/>
              <w:rPr>
                <w:rFonts w:ascii="宋体" w:hAnsi="宋体" w:cs="宋体"/>
                <w:color w:val="auto"/>
                <w:sz w:val="24"/>
              </w:rPr>
            </w:pPr>
            <w:r>
              <w:rPr>
                <w:rFonts w:ascii="宋体" w:hAnsi="宋体" w:cs="宋体"/>
                <w:color w:val="auto"/>
                <w:sz w:val="24"/>
              </w:rPr>
              <w:t>1</w:t>
            </w:r>
          </w:p>
        </w:tc>
        <w:tc>
          <w:tcPr>
            <w:tcW w:w="1100" w:type="dxa"/>
            <w:vMerge w:val="restart"/>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ascii="宋体" w:hAnsi="宋体" w:cs="宋体"/>
                <w:color w:val="auto"/>
                <w:sz w:val="24"/>
              </w:rPr>
              <w:t>企业和员工获得表彰奖励</w:t>
            </w:r>
          </w:p>
          <w:p>
            <w:pPr>
              <w:spacing w:line="450" w:lineRule="atLeast"/>
              <w:rPr>
                <w:rFonts w:ascii="宋体" w:hAnsi="宋体" w:cs="宋体"/>
                <w:color w:val="auto"/>
                <w:sz w:val="24"/>
              </w:rPr>
            </w:pPr>
            <w:r>
              <w:rPr>
                <w:rFonts w:ascii="宋体" w:hAnsi="宋体" w:cs="宋体"/>
                <w:color w:val="auto"/>
                <w:sz w:val="24"/>
              </w:rPr>
              <w:t>（1</w:t>
            </w:r>
            <w:r>
              <w:rPr>
                <w:rFonts w:hint="eastAsia" w:ascii="宋体" w:hAnsi="宋体" w:cs="宋体"/>
                <w:color w:val="auto"/>
                <w:sz w:val="24"/>
              </w:rPr>
              <w:t>8</w:t>
            </w:r>
            <w:r>
              <w:rPr>
                <w:rFonts w:ascii="宋体" w:hAnsi="宋体" w:cs="宋体"/>
                <w:color w:val="auto"/>
                <w:sz w:val="24"/>
              </w:rPr>
              <w:t>分）</w:t>
            </w:r>
          </w:p>
        </w:tc>
        <w:tc>
          <w:tcPr>
            <w:tcW w:w="1083"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hint="eastAsia" w:ascii="宋体" w:hAnsi="宋体" w:cs="宋体"/>
                <w:color w:val="auto"/>
                <w:sz w:val="24"/>
              </w:rPr>
              <w:t>表彰企业</w:t>
            </w:r>
          </w:p>
          <w:p>
            <w:pPr>
              <w:spacing w:line="450" w:lineRule="atLeast"/>
              <w:rPr>
                <w:rFonts w:ascii="宋体" w:hAnsi="宋体" w:cs="宋体"/>
                <w:color w:val="auto"/>
                <w:sz w:val="24"/>
              </w:rPr>
            </w:pPr>
            <w:r>
              <w:rPr>
                <w:rFonts w:ascii="宋体" w:hAnsi="宋体" w:cs="宋体"/>
                <w:color w:val="auto"/>
                <w:sz w:val="24"/>
              </w:rPr>
              <w:t>（</w:t>
            </w:r>
            <w:r>
              <w:rPr>
                <w:rFonts w:hint="eastAsia" w:ascii="宋体" w:hAnsi="宋体" w:cs="宋体"/>
                <w:color w:val="auto"/>
                <w:sz w:val="24"/>
              </w:rPr>
              <w:t>12</w:t>
            </w:r>
            <w:r>
              <w:rPr>
                <w:rFonts w:ascii="宋体" w:hAnsi="宋体" w:cs="宋体"/>
                <w:color w:val="auto"/>
                <w:sz w:val="24"/>
              </w:rPr>
              <w:t>分）</w:t>
            </w:r>
          </w:p>
        </w:tc>
        <w:tc>
          <w:tcPr>
            <w:tcW w:w="5952"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hint="eastAsia" w:ascii="宋体" w:hAnsi="宋体" w:cs="宋体"/>
                <w:color w:val="auto"/>
                <w:sz w:val="24"/>
              </w:rPr>
              <w:t>企业获得各级党委、政府以及其他国家机关、群团组织表彰的，以正式文件为准，按照国家、省、市、县四级，分别得4、3、2、1分。可累计得分，最高不超过12分。自表彰文件发布之日起一年内有效。</w:t>
            </w:r>
          </w:p>
        </w:tc>
        <w:tc>
          <w:tcPr>
            <w:tcW w:w="350"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rPr>
                <w:rFonts w:ascii="宋体" w:hAnsi="宋体" w:cs="宋体"/>
                <w:color w:val="auto"/>
                <w:sz w:val="24"/>
              </w:rPr>
            </w:pPr>
            <w:r>
              <w:rPr>
                <w:rFonts w:ascii="宋体" w:hAnsi="宋体" w:cs="宋体"/>
                <w:color w:val="auto"/>
                <w:sz w:val="24"/>
              </w:rPr>
              <w:t> </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50" w:type="dxa"/>
            <w:vMerge w:val="continue"/>
            <w:tcBorders>
              <w:top w:val="inset" w:color="808080" w:sz="6" w:space="0"/>
              <w:left w:val="inset" w:color="808080" w:sz="6" w:space="0"/>
              <w:bottom w:val="inset" w:color="808080" w:sz="6" w:space="0"/>
              <w:right w:val="inset" w:color="808080" w:sz="6" w:space="0"/>
            </w:tcBorders>
            <w:vAlign w:val="center"/>
          </w:tcPr>
          <w:p>
            <w:pPr>
              <w:jc w:val="center"/>
              <w:rPr>
                <w:rFonts w:ascii="宋体" w:hAnsi="宋体" w:cs="宋体"/>
                <w:color w:val="auto"/>
                <w:sz w:val="24"/>
              </w:rPr>
            </w:pPr>
          </w:p>
        </w:tc>
        <w:tc>
          <w:tcPr>
            <w:tcW w:w="1100" w:type="dxa"/>
            <w:vMerge w:val="continue"/>
            <w:tcBorders>
              <w:top w:val="inset" w:color="808080" w:sz="6" w:space="0"/>
              <w:left w:val="inset" w:color="808080" w:sz="6" w:space="0"/>
              <w:bottom w:val="inset" w:color="808080" w:sz="6" w:space="0"/>
              <w:right w:val="inset" w:color="808080" w:sz="6" w:space="0"/>
            </w:tcBorders>
            <w:vAlign w:val="center"/>
          </w:tcPr>
          <w:p>
            <w:pPr>
              <w:rPr>
                <w:rFonts w:ascii="宋体" w:hAnsi="宋体" w:cs="宋体"/>
                <w:color w:val="auto"/>
                <w:sz w:val="24"/>
              </w:rPr>
            </w:pPr>
          </w:p>
        </w:tc>
        <w:tc>
          <w:tcPr>
            <w:tcW w:w="1083"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ascii="宋体" w:hAnsi="宋体" w:cs="宋体"/>
                <w:color w:val="auto"/>
                <w:sz w:val="24"/>
              </w:rPr>
              <w:t>表彰</w:t>
            </w:r>
            <w:r>
              <w:rPr>
                <w:rFonts w:hint="eastAsia" w:ascii="宋体" w:hAnsi="宋体" w:cs="宋体"/>
                <w:color w:val="auto"/>
                <w:sz w:val="24"/>
              </w:rPr>
              <w:t>个人</w:t>
            </w:r>
            <w:r>
              <w:rPr>
                <w:rFonts w:ascii="宋体" w:hAnsi="宋体" w:cs="宋体"/>
                <w:color w:val="auto"/>
                <w:sz w:val="24"/>
              </w:rPr>
              <w:t>（6分）</w:t>
            </w:r>
          </w:p>
        </w:tc>
        <w:tc>
          <w:tcPr>
            <w:tcW w:w="5952"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hint="eastAsia" w:ascii="宋体" w:hAnsi="宋体" w:cs="宋体"/>
                <w:color w:val="auto"/>
                <w:sz w:val="24"/>
              </w:rPr>
              <w:t>企业员工获得各级党委、政府以及其他国家机关、群团组织表彰的，以正式文件为准，按照国家、省、市、县四级，分别得2、1.5、1、0.5分。可累计得分，最高不超过6分。自表彰文件发布之日起一年内有效。</w:t>
            </w:r>
          </w:p>
        </w:tc>
        <w:tc>
          <w:tcPr>
            <w:tcW w:w="350"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rPr>
                <w:rFonts w:ascii="宋体" w:hAnsi="宋体" w:cs="宋体"/>
                <w:color w:val="auto"/>
                <w:sz w:val="24"/>
              </w:rPr>
            </w:pPr>
            <w:r>
              <w:rPr>
                <w:rFonts w:ascii="宋体" w:hAnsi="宋体" w:cs="宋体"/>
                <w:color w:val="auto"/>
                <w:sz w:val="24"/>
              </w:rPr>
              <w:t> </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PrEx>
        <w:trPr>
          <w:tblCellSpacing w:w="0" w:type="dxa"/>
          <w:jc w:val="center"/>
        </w:trPr>
        <w:tc>
          <w:tcPr>
            <w:tcW w:w="350"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jc w:val="center"/>
              <w:rPr>
                <w:rFonts w:ascii="宋体" w:hAnsi="宋体" w:cs="宋体"/>
                <w:color w:val="auto"/>
                <w:sz w:val="24"/>
              </w:rPr>
            </w:pPr>
            <w:r>
              <w:rPr>
                <w:rFonts w:ascii="宋体" w:hAnsi="宋体" w:cs="宋体"/>
                <w:color w:val="auto"/>
                <w:sz w:val="24"/>
              </w:rPr>
              <w:t>2</w:t>
            </w:r>
          </w:p>
        </w:tc>
        <w:tc>
          <w:tcPr>
            <w:tcW w:w="2183" w:type="dxa"/>
            <w:gridSpan w:val="2"/>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ascii="宋体" w:hAnsi="宋体" w:cs="宋体"/>
                <w:color w:val="auto"/>
                <w:sz w:val="24"/>
              </w:rPr>
              <w:t>物业服务项目创优</w:t>
            </w:r>
          </w:p>
          <w:p>
            <w:pPr>
              <w:spacing w:line="450" w:lineRule="atLeast"/>
              <w:rPr>
                <w:rFonts w:ascii="宋体" w:hAnsi="宋体" w:cs="宋体"/>
                <w:color w:val="auto"/>
                <w:sz w:val="24"/>
              </w:rPr>
            </w:pPr>
            <w:r>
              <w:rPr>
                <w:rFonts w:ascii="宋体" w:hAnsi="宋体" w:cs="宋体"/>
                <w:color w:val="auto"/>
                <w:sz w:val="24"/>
              </w:rPr>
              <w:t>（10分）</w:t>
            </w:r>
          </w:p>
        </w:tc>
        <w:tc>
          <w:tcPr>
            <w:tcW w:w="5952"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ascii="宋体" w:hAnsi="宋体" w:cs="宋体"/>
                <w:color w:val="auto"/>
                <w:sz w:val="24"/>
              </w:rPr>
              <w:t>国家、省、市、县四级，以正式文件为准，按照4、3、2、1得分，按项目数量累计加分。可累计得分，最高不超过10分。</w:t>
            </w:r>
            <w:r>
              <w:rPr>
                <w:rFonts w:hint="eastAsia" w:ascii="宋体" w:hAnsi="宋体" w:cs="宋体"/>
                <w:color w:val="auto"/>
                <w:sz w:val="24"/>
              </w:rPr>
              <w:t>自表彰文件发布之日起</w:t>
            </w:r>
            <w:r>
              <w:rPr>
                <w:rFonts w:hint="eastAsia" w:ascii="宋体" w:hAnsi="宋体" w:cs="宋体"/>
                <w:color w:val="auto"/>
                <w:sz w:val="24"/>
                <w:lang w:eastAsia="zh-CN"/>
              </w:rPr>
              <w:t>一</w:t>
            </w:r>
            <w:r>
              <w:rPr>
                <w:rFonts w:hint="eastAsia" w:ascii="宋体" w:hAnsi="宋体" w:cs="宋体"/>
                <w:color w:val="auto"/>
                <w:sz w:val="24"/>
              </w:rPr>
              <w:t>年内有效。</w:t>
            </w:r>
          </w:p>
        </w:tc>
        <w:tc>
          <w:tcPr>
            <w:tcW w:w="350"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rPr>
                <w:rFonts w:ascii="宋体" w:hAnsi="宋体" w:cs="宋体"/>
                <w:color w:val="auto"/>
                <w:sz w:val="24"/>
              </w:rPr>
            </w:pPr>
            <w:r>
              <w:rPr>
                <w:rFonts w:ascii="宋体" w:hAnsi="宋体" w:cs="宋体"/>
                <w:color w:val="auto"/>
                <w:sz w:val="24"/>
              </w:rPr>
              <w:t> </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50"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jc w:val="center"/>
              <w:rPr>
                <w:rFonts w:ascii="宋体" w:hAnsi="宋体" w:cs="宋体"/>
                <w:color w:val="auto"/>
                <w:sz w:val="24"/>
              </w:rPr>
            </w:pPr>
            <w:r>
              <w:rPr>
                <w:rFonts w:ascii="宋体" w:hAnsi="宋体" w:cs="宋体"/>
                <w:color w:val="auto"/>
                <w:sz w:val="24"/>
              </w:rPr>
              <w:t>3</w:t>
            </w:r>
          </w:p>
        </w:tc>
        <w:tc>
          <w:tcPr>
            <w:tcW w:w="2183" w:type="dxa"/>
            <w:gridSpan w:val="2"/>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hint="eastAsia" w:ascii="宋体" w:hAnsi="宋体" w:cs="宋体"/>
                <w:color w:val="auto"/>
                <w:sz w:val="24"/>
              </w:rPr>
              <w:t>节水型小区、垃圾分类示范小区等创建活动</w:t>
            </w:r>
            <w:r>
              <w:rPr>
                <w:rFonts w:ascii="宋体" w:hAnsi="宋体" w:cs="宋体"/>
                <w:color w:val="auto"/>
                <w:sz w:val="24"/>
              </w:rPr>
              <w:t>（</w:t>
            </w:r>
            <w:r>
              <w:rPr>
                <w:rFonts w:hint="eastAsia" w:ascii="宋体" w:hAnsi="宋体" w:cs="宋体"/>
                <w:color w:val="auto"/>
                <w:sz w:val="24"/>
              </w:rPr>
              <w:t>6</w:t>
            </w:r>
            <w:r>
              <w:rPr>
                <w:rFonts w:ascii="宋体" w:hAnsi="宋体" w:cs="宋体"/>
                <w:color w:val="auto"/>
                <w:sz w:val="24"/>
              </w:rPr>
              <w:t>分）</w:t>
            </w:r>
          </w:p>
        </w:tc>
        <w:tc>
          <w:tcPr>
            <w:tcW w:w="5952"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ascii="宋体" w:hAnsi="宋体" w:cs="宋体"/>
                <w:color w:val="auto"/>
                <w:sz w:val="24"/>
              </w:rPr>
              <w:t>国家、省、市、县四级，以正式文件为准，按照</w:t>
            </w:r>
            <w:r>
              <w:rPr>
                <w:rFonts w:hint="eastAsia" w:ascii="宋体" w:hAnsi="宋体" w:cs="宋体"/>
                <w:color w:val="auto"/>
                <w:sz w:val="24"/>
              </w:rPr>
              <w:t>2</w:t>
            </w:r>
            <w:r>
              <w:rPr>
                <w:rFonts w:ascii="宋体" w:hAnsi="宋体" w:cs="宋体"/>
                <w:color w:val="auto"/>
                <w:sz w:val="24"/>
              </w:rPr>
              <w:t>、</w:t>
            </w:r>
            <w:r>
              <w:rPr>
                <w:rFonts w:hint="eastAsia" w:ascii="宋体" w:hAnsi="宋体" w:cs="宋体"/>
                <w:color w:val="auto"/>
                <w:sz w:val="24"/>
              </w:rPr>
              <w:t>1.5</w:t>
            </w:r>
            <w:r>
              <w:rPr>
                <w:rFonts w:ascii="宋体" w:hAnsi="宋体" w:cs="宋体"/>
                <w:color w:val="auto"/>
                <w:sz w:val="24"/>
              </w:rPr>
              <w:t>、</w:t>
            </w:r>
            <w:r>
              <w:rPr>
                <w:rFonts w:hint="eastAsia" w:ascii="宋体" w:hAnsi="宋体" w:cs="宋体"/>
                <w:color w:val="auto"/>
                <w:sz w:val="24"/>
              </w:rPr>
              <w:t>1</w:t>
            </w:r>
            <w:r>
              <w:rPr>
                <w:rFonts w:ascii="宋体" w:hAnsi="宋体" w:cs="宋体"/>
                <w:color w:val="auto"/>
                <w:sz w:val="24"/>
              </w:rPr>
              <w:t>、</w:t>
            </w:r>
            <w:r>
              <w:rPr>
                <w:rFonts w:hint="eastAsia" w:ascii="宋体" w:hAnsi="宋体" w:cs="宋体"/>
                <w:color w:val="auto"/>
                <w:sz w:val="24"/>
              </w:rPr>
              <w:t>0.5</w:t>
            </w:r>
            <w:r>
              <w:rPr>
                <w:rFonts w:ascii="宋体" w:hAnsi="宋体" w:cs="宋体"/>
                <w:color w:val="auto"/>
                <w:sz w:val="24"/>
              </w:rPr>
              <w:t>得分，按项目数量累计加分。可累计得分，最高不超过</w:t>
            </w:r>
            <w:r>
              <w:rPr>
                <w:rFonts w:hint="eastAsia" w:ascii="宋体" w:hAnsi="宋体" w:cs="宋体"/>
                <w:color w:val="auto"/>
                <w:sz w:val="24"/>
              </w:rPr>
              <w:t>6</w:t>
            </w:r>
            <w:r>
              <w:rPr>
                <w:rFonts w:ascii="宋体" w:hAnsi="宋体" w:cs="宋体"/>
                <w:color w:val="auto"/>
                <w:sz w:val="24"/>
              </w:rPr>
              <w:t>分。</w:t>
            </w:r>
            <w:r>
              <w:rPr>
                <w:rFonts w:hint="eastAsia" w:ascii="宋体" w:hAnsi="宋体" w:cs="宋体"/>
                <w:color w:val="auto"/>
                <w:sz w:val="24"/>
              </w:rPr>
              <w:t>自表彰文件发布之日起两年内有效。</w:t>
            </w:r>
          </w:p>
        </w:tc>
        <w:tc>
          <w:tcPr>
            <w:tcW w:w="350"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rPr>
                <w:rFonts w:ascii="宋体" w:hAnsi="宋体" w:cs="宋体"/>
                <w:color w:val="auto"/>
                <w:sz w:val="24"/>
              </w:rPr>
            </w:pPr>
            <w:r>
              <w:rPr>
                <w:rFonts w:ascii="宋体" w:hAnsi="宋体" w:cs="宋体"/>
                <w:color w:val="auto"/>
                <w:sz w:val="24"/>
              </w:rPr>
              <w:t> </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50"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jc w:val="center"/>
              <w:rPr>
                <w:rFonts w:ascii="宋体" w:hAnsi="宋体" w:cs="宋体"/>
                <w:color w:val="auto"/>
                <w:sz w:val="24"/>
              </w:rPr>
            </w:pPr>
            <w:r>
              <w:rPr>
                <w:rFonts w:hint="eastAsia" w:ascii="宋体" w:hAnsi="宋体" w:cs="宋体"/>
                <w:color w:val="auto"/>
                <w:sz w:val="24"/>
              </w:rPr>
              <w:t>4</w:t>
            </w:r>
          </w:p>
        </w:tc>
        <w:tc>
          <w:tcPr>
            <w:tcW w:w="2183" w:type="dxa"/>
            <w:gridSpan w:val="2"/>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ascii="宋体" w:hAnsi="宋体" w:cs="宋体"/>
                <w:color w:val="auto"/>
                <w:sz w:val="24"/>
              </w:rPr>
              <w:t>重合同守信用企业[工商部门颁布]（2分）</w:t>
            </w:r>
          </w:p>
        </w:tc>
        <w:tc>
          <w:tcPr>
            <w:tcW w:w="5952"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ascii="宋体" w:hAnsi="宋体" w:cs="宋体"/>
                <w:color w:val="auto"/>
                <w:sz w:val="24"/>
              </w:rPr>
              <w:t>AA级及以上得2分。</w:t>
            </w:r>
            <w:r>
              <w:rPr>
                <w:rFonts w:hint="eastAsia" w:ascii="宋体" w:hAnsi="宋体" w:cs="宋体"/>
                <w:color w:val="auto"/>
                <w:sz w:val="24"/>
              </w:rPr>
              <w:t>自表彰文件发布之日起一年内有效。</w:t>
            </w:r>
          </w:p>
        </w:tc>
        <w:tc>
          <w:tcPr>
            <w:tcW w:w="350"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rPr>
                <w:rFonts w:ascii="宋体" w:hAnsi="宋体" w:cs="宋体"/>
                <w:color w:val="auto"/>
                <w:sz w:val="24"/>
              </w:rPr>
            </w:pPr>
            <w:r>
              <w:rPr>
                <w:rFonts w:ascii="宋体" w:hAnsi="宋体" w:cs="宋体"/>
                <w:color w:val="auto"/>
                <w:sz w:val="24"/>
              </w:rPr>
              <w:t> </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50"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jc w:val="center"/>
              <w:rPr>
                <w:rFonts w:ascii="宋体" w:hAnsi="宋体" w:cs="宋体"/>
                <w:color w:val="auto"/>
                <w:sz w:val="24"/>
              </w:rPr>
            </w:pPr>
            <w:r>
              <w:rPr>
                <w:rFonts w:hint="eastAsia" w:ascii="宋体" w:hAnsi="宋体" w:cs="宋体"/>
                <w:color w:val="auto"/>
                <w:sz w:val="24"/>
              </w:rPr>
              <w:t>5</w:t>
            </w:r>
          </w:p>
        </w:tc>
        <w:tc>
          <w:tcPr>
            <w:tcW w:w="2183" w:type="dxa"/>
            <w:gridSpan w:val="2"/>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hint="eastAsia" w:ascii="宋体" w:hAnsi="宋体" w:cs="宋体"/>
                <w:color w:val="auto"/>
                <w:sz w:val="24"/>
              </w:rPr>
              <w:t>编写物业服务相关标准</w:t>
            </w:r>
            <w:r>
              <w:rPr>
                <w:rFonts w:ascii="宋体" w:hAnsi="宋体" w:cs="宋体"/>
                <w:color w:val="auto"/>
                <w:sz w:val="24"/>
              </w:rPr>
              <w:t>（</w:t>
            </w:r>
            <w:r>
              <w:rPr>
                <w:rFonts w:hint="eastAsia" w:ascii="宋体" w:hAnsi="宋体" w:cs="宋体"/>
                <w:color w:val="auto"/>
                <w:sz w:val="24"/>
              </w:rPr>
              <w:t>6</w:t>
            </w:r>
            <w:r>
              <w:rPr>
                <w:rFonts w:ascii="宋体" w:hAnsi="宋体" w:cs="宋体"/>
                <w:color w:val="auto"/>
                <w:sz w:val="24"/>
              </w:rPr>
              <w:t>分）</w:t>
            </w:r>
          </w:p>
        </w:tc>
        <w:tc>
          <w:tcPr>
            <w:tcW w:w="5952"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hint="eastAsia" w:ascii="宋体" w:hAnsi="宋体" w:cs="宋体"/>
                <w:color w:val="auto"/>
                <w:sz w:val="24"/>
              </w:rPr>
              <w:t>企业作为主要起草单位或者主编单位编写国家、行业、地方标准，以正式文件为准。按照3、2、1得分，个人作为主要起草人的，减半得分。可累计得分，最高不超过6分。自标准发布之日起三年内有效。</w:t>
            </w:r>
          </w:p>
        </w:tc>
        <w:tc>
          <w:tcPr>
            <w:tcW w:w="350"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rPr>
                <w:rFonts w:ascii="宋体" w:hAnsi="宋体" w:cs="宋体"/>
                <w:color w:val="auto"/>
                <w:sz w:val="24"/>
              </w:rPr>
            </w:pPr>
            <w:r>
              <w:rPr>
                <w:rFonts w:ascii="宋体" w:hAnsi="宋体" w:cs="宋体"/>
                <w:color w:val="auto"/>
                <w:sz w:val="24"/>
              </w:rPr>
              <w:t> </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533" w:type="dxa"/>
            <w:gridSpan w:val="3"/>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ascii="宋体" w:hAnsi="宋体" w:cs="宋体"/>
                <w:color w:val="auto"/>
                <w:sz w:val="24"/>
              </w:rPr>
              <w:t>合计</w:t>
            </w:r>
          </w:p>
        </w:tc>
        <w:tc>
          <w:tcPr>
            <w:tcW w:w="5952"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rPr>
                <w:rFonts w:ascii="宋体" w:hAnsi="宋体" w:cs="宋体"/>
                <w:color w:val="auto"/>
                <w:sz w:val="24"/>
              </w:rPr>
            </w:pPr>
            <w:r>
              <w:rPr>
                <w:rFonts w:ascii="宋体" w:hAnsi="宋体" w:cs="宋体"/>
                <w:color w:val="auto"/>
                <w:sz w:val="24"/>
              </w:rPr>
              <w:t> </w:t>
            </w:r>
          </w:p>
        </w:tc>
        <w:tc>
          <w:tcPr>
            <w:tcW w:w="350"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rPr>
                <w:rFonts w:ascii="宋体" w:hAnsi="宋体" w:cs="宋体"/>
                <w:color w:val="auto"/>
                <w:sz w:val="24"/>
              </w:rPr>
            </w:pPr>
            <w:r>
              <w:rPr>
                <w:rFonts w:ascii="宋体" w:hAnsi="宋体" w:cs="宋体"/>
                <w:color w:val="auto"/>
                <w:sz w:val="24"/>
              </w:rPr>
              <w:t> </w:t>
            </w:r>
          </w:p>
        </w:tc>
      </w:tr>
    </w:tbl>
    <w:p>
      <w:pPr>
        <w:ind w:left="1319" w:leftChars="114" w:hanging="1080" w:hangingChars="450"/>
        <w:rPr>
          <w:rFonts w:ascii="宋体" w:hAnsi="宋体" w:cs="宋体"/>
          <w:color w:val="auto"/>
          <w:sz w:val="24"/>
        </w:rPr>
      </w:pPr>
      <w:r>
        <w:rPr>
          <w:rFonts w:ascii="宋体" w:hAnsi="宋体" w:cs="宋体"/>
          <w:color w:val="auto"/>
          <w:sz w:val="24"/>
        </w:rPr>
        <w:t>备注：</w:t>
      </w:r>
      <w:r>
        <w:rPr>
          <w:rFonts w:hint="eastAsia" w:ascii="宋体" w:hAnsi="宋体" w:cs="宋体"/>
          <w:color w:val="auto"/>
          <w:sz w:val="24"/>
        </w:rPr>
        <w:t>1</w:t>
      </w:r>
      <w:r>
        <w:rPr>
          <w:rFonts w:hint="eastAsia" w:ascii="宋体" w:hAnsi="宋体" w:cs="宋体"/>
          <w:color w:val="auto"/>
          <w:sz w:val="24"/>
          <w:lang w:val="en-US" w:eastAsia="zh-CN"/>
        </w:rPr>
        <w:t>.</w:t>
      </w:r>
      <w:r>
        <w:rPr>
          <w:rFonts w:ascii="宋体" w:hAnsi="宋体" w:cs="宋体"/>
          <w:color w:val="auto"/>
          <w:sz w:val="24"/>
        </w:rPr>
        <w:t>良好信息由物业服务企业提供的，物业服务企业应提供相关证明材料</w:t>
      </w:r>
      <w:r>
        <w:rPr>
          <w:rFonts w:hint="eastAsia" w:ascii="宋体" w:hAnsi="宋体" w:cs="宋体"/>
          <w:color w:val="auto"/>
          <w:sz w:val="24"/>
        </w:rPr>
        <w:t>，</w:t>
      </w:r>
      <w:r>
        <w:rPr>
          <w:rFonts w:ascii="宋体" w:hAnsi="宋体" w:cs="宋体"/>
          <w:color w:val="auto"/>
          <w:sz w:val="24"/>
        </w:rPr>
        <w:t>同一项目的奖项按最高荣誉计算一次。</w:t>
      </w:r>
    </w:p>
    <w:p>
      <w:pPr>
        <w:ind w:left="1320" w:hanging="1320" w:hangingChars="550"/>
        <w:rPr>
          <w:rFonts w:ascii="宋体" w:hAnsi="宋体" w:cs="宋体"/>
          <w:color w:val="auto"/>
          <w:sz w:val="24"/>
        </w:rPr>
      </w:pPr>
      <w:r>
        <w:rPr>
          <w:rFonts w:hint="eastAsia" w:ascii="宋体" w:hAnsi="宋体" w:cs="宋体"/>
          <w:color w:val="auto"/>
          <w:sz w:val="24"/>
        </w:rPr>
        <w:t xml:space="preserve">        2</w:t>
      </w:r>
      <w:r>
        <w:rPr>
          <w:rFonts w:hint="eastAsia" w:ascii="宋体" w:hAnsi="宋体" w:cs="宋体"/>
          <w:color w:val="auto"/>
          <w:sz w:val="24"/>
          <w:lang w:val="en-US" w:eastAsia="zh-CN"/>
        </w:rPr>
        <w:t>.</w:t>
      </w:r>
      <w:r>
        <w:rPr>
          <w:rFonts w:hint="eastAsia" w:ascii="宋体" w:hAnsi="宋体" w:cs="宋体"/>
          <w:color w:val="auto"/>
          <w:sz w:val="24"/>
        </w:rPr>
        <w:t>个人获得的良好信息以社保缴纳企业为准，纳入其物业服务企业信用，评价周期内更换企业的，评价时以社保缴纳期限按比例赋分。</w:t>
      </w:r>
    </w:p>
    <w:p>
      <w:pPr>
        <w:widowControl/>
        <w:jc w:val="left"/>
        <w:rPr>
          <w:rFonts w:ascii="宋体" w:hAnsi="宋体" w:cs="宋体"/>
          <w:color w:val="auto"/>
          <w:sz w:val="24"/>
        </w:rPr>
      </w:pPr>
      <w:r>
        <w:rPr>
          <w:rFonts w:ascii="宋体" w:hAnsi="宋体" w:cs="宋体"/>
          <w:color w:val="auto"/>
          <w:sz w:val="24"/>
        </w:rPr>
        <w:br w:type="page"/>
      </w:r>
    </w:p>
    <w:p>
      <w:pPr>
        <w:jc w:val="center"/>
        <w:rPr>
          <w:rFonts w:ascii="宋体" w:hAnsi="宋体" w:cs="宋体"/>
          <w:b/>
          <w:bCs/>
          <w:color w:val="auto"/>
          <w:sz w:val="32"/>
          <w:szCs w:val="32"/>
        </w:rPr>
      </w:pPr>
      <w:r>
        <w:rPr>
          <w:rFonts w:hint="eastAsia" w:ascii="宋体" w:hAnsi="宋体" w:cs="宋体"/>
          <w:b/>
          <w:bCs/>
          <w:color w:val="auto"/>
          <w:sz w:val="32"/>
          <w:szCs w:val="32"/>
          <w:lang w:eastAsia="zh-CN"/>
        </w:rPr>
        <w:t>三、</w:t>
      </w:r>
      <w:r>
        <w:rPr>
          <w:rFonts w:ascii="宋体" w:hAnsi="宋体" w:cs="宋体"/>
          <w:b/>
          <w:bCs/>
          <w:color w:val="auto"/>
          <w:sz w:val="32"/>
          <w:szCs w:val="32"/>
        </w:rPr>
        <w:t>不良信息</w:t>
      </w:r>
    </w:p>
    <w:tbl>
      <w:tblPr>
        <w:tblStyle w:val="4"/>
        <w:tblW w:w="8835" w:type="dxa"/>
        <w:jc w:val="center"/>
        <w:tblCellSpacing w:w="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0" w:type="dxa"/>
          <w:left w:w="0" w:type="dxa"/>
          <w:bottom w:w="0" w:type="dxa"/>
          <w:right w:w="0" w:type="dxa"/>
        </w:tblCellMar>
      </w:tblPr>
      <w:tblGrid>
        <w:gridCol w:w="353"/>
        <w:gridCol w:w="4005"/>
        <w:gridCol w:w="1260"/>
        <w:gridCol w:w="2865"/>
        <w:gridCol w:w="352"/>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53"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jc w:val="center"/>
              <w:rPr>
                <w:rFonts w:ascii="宋体" w:hAnsi="宋体" w:cs="宋体"/>
                <w:color w:val="auto"/>
                <w:sz w:val="24"/>
              </w:rPr>
            </w:pPr>
            <w:r>
              <w:rPr>
                <w:rFonts w:ascii="宋体" w:hAnsi="宋体" w:cs="宋体"/>
                <w:color w:val="auto"/>
                <w:sz w:val="24"/>
              </w:rPr>
              <w:t>序号</w:t>
            </w:r>
          </w:p>
        </w:tc>
        <w:tc>
          <w:tcPr>
            <w:tcW w:w="4005"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jc w:val="center"/>
              <w:rPr>
                <w:rFonts w:ascii="宋体" w:hAnsi="宋体" w:cs="宋体"/>
                <w:color w:val="auto"/>
                <w:sz w:val="24"/>
              </w:rPr>
            </w:pPr>
            <w:r>
              <w:rPr>
                <w:rFonts w:hint="eastAsia" w:ascii="宋体" w:hAnsi="宋体" w:cs="宋体"/>
                <w:color w:val="auto"/>
                <w:sz w:val="24"/>
                <w:lang w:eastAsia="zh-CN"/>
              </w:rPr>
              <w:t>不良</w:t>
            </w:r>
            <w:r>
              <w:rPr>
                <w:rFonts w:ascii="宋体" w:hAnsi="宋体" w:cs="宋体"/>
                <w:color w:val="auto"/>
                <w:sz w:val="24"/>
              </w:rPr>
              <w:t>信息</w:t>
            </w:r>
          </w:p>
        </w:tc>
        <w:tc>
          <w:tcPr>
            <w:tcW w:w="1260"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jc w:val="center"/>
              <w:rPr>
                <w:rFonts w:ascii="宋体" w:hAnsi="宋体" w:cs="宋体"/>
                <w:color w:val="auto"/>
                <w:sz w:val="24"/>
              </w:rPr>
            </w:pPr>
            <w:r>
              <w:rPr>
                <w:rFonts w:ascii="宋体" w:hAnsi="宋体" w:cs="宋体"/>
                <w:color w:val="auto"/>
                <w:sz w:val="24"/>
              </w:rPr>
              <w:t>信息来源</w:t>
            </w:r>
          </w:p>
        </w:tc>
        <w:tc>
          <w:tcPr>
            <w:tcW w:w="2865"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jc w:val="center"/>
              <w:rPr>
                <w:rFonts w:ascii="宋体" w:hAnsi="宋体" w:cs="宋体"/>
                <w:color w:val="auto"/>
                <w:sz w:val="24"/>
              </w:rPr>
            </w:pPr>
            <w:r>
              <w:rPr>
                <w:rFonts w:ascii="宋体" w:hAnsi="宋体" w:cs="宋体"/>
                <w:color w:val="auto"/>
                <w:sz w:val="24"/>
              </w:rPr>
              <w:t>评分内容与标准</w:t>
            </w:r>
          </w:p>
        </w:tc>
        <w:tc>
          <w:tcPr>
            <w:tcW w:w="352"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jc w:val="center"/>
              <w:rPr>
                <w:rFonts w:ascii="宋体" w:hAnsi="宋体" w:cs="宋体"/>
                <w:color w:val="auto"/>
                <w:sz w:val="24"/>
              </w:rPr>
            </w:pPr>
            <w:r>
              <w:rPr>
                <w:rFonts w:ascii="宋体" w:hAnsi="宋体" w:cs="宋体"/>
                <w:color w:val="auto"/>
                <w:sz w:val="24"/>
              </w:rPr>
              <w:t>评分</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53"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jc w:val="center"/>
              <w:rPr>
                <w:rFonts w:hint="eastAsia" w:ascii="宋体" w:hAnsi="宋体" w:eastAsia="宋体" w:cs="宋体"/>
                <w:color w:val="auto"/>
                <w:sz w:val="24"/>
                <w:lang w:eastAsia="zh-CN"/>
              </w:rPr>
            </w:pPr>
            <w:r>
              <w:rPr>
                <w:rFonts w:hint="eastAsia" w:ascii="宋体" w:hAnsi="宋体" w:cs="宋体"/>
                <w:color w:val="auto"/>
                <w:sz w:val="24"/>
                <w:lang w:val="en-US" w:eastAsia="zh-CN"/>
              </w:rPr>
              <w:t>1</w:t>
            </w:r>
          </w:p>
        </w:tc>
        <w:tc>
          <w:tcPr>
            <w:tcW w:w="4005"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ascii="宋体" w:hAnsi="宋体" w:cs="宋体"/>
                <w:color w:val="auto"/>
                <w:sz w:val="24"/>
              </w:rPr>
              <w:t>以欺骗、贿赂等不正当手段取得物业补贴、行政奖励的</w:t>
            </w:r>
          </w:p>
        </w:tc>
        <w:tc>
          <w:tcPr>
            <w:tcW w:w="1260"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jc w:val="center"/>
              <w:rPr>
                <w:rFonts w:ascii="宋体" w:hAnsi="宋体" w:cs="宋体"/>
                <w:color w:val="auto"/>
                <w:sz w:val="24"/>
              </w:rPr>
            </w:pPr>
            <w:r>
              <w:rPr>
                <w:rFonts w:hint="eastAsia" w:ascii="宋体" w:hAnsi="宋体" w:cs="宋体"/>
                <w:color w:val="auto"/>
                <w:sz w:val="24"/>
              </w:rPr>
              <w:t>建设局</w:t>
            </w:r>
          </w:p>
        </w:tc>
        <w:tc>
          <w:tcPr>
            <w:tcW w:w="2865"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ascii="宋体" w:hAnsi="宋体" w:cs="宋体"/>
                <w:color w:val="auto"/>
                <w:sz w:val="24"/>
              </w:rPr>
              <w:t>核实一次扣</w:t>
            </w:r>
            <w:r>
              <w:rPr>
                <w:rFonts w:hint="eastAsia" w:ascii="宋体" w:hAnsi="宋体" w:cs="宋体"/>
                <w:color w:val="auto"/>
                <w:sz w:val="24"/>
                <w:lang w:val="en-US" w:eastAsia="zh-CN"/>
              </w:rPr>
              <w:t>10</w:t>
            </w:r>
            <w:r>
              <w:rPr>
                <w:rFonts w:ascii="宋体" w:hAnsi="宋体" w:cs="宋体"/>
                <w:color w:val="auto"/>
                <w:sz w:val="24"/>
              </w:rPr>
              <w:t>分</w:t>
            </w:r>
          </w:p>
        </w:tc>
        <w:tc>
          <w:tcPr>
            <w:tcW w:w="352"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rPr>
                <w:rFonts w:ascii="宋体" w:hAnsi="宋体" w:cs="宋体"/>
                <w:color w:val="auto"/>
                <w:sz w:val="24"/>
              </w:rPr>
            </w:pPr>
            <w:r>
              <w:rPr>
                <w:rFonts w:ascii="宋体" w:hAnsi="宋体" w:cs="宋体"/>
                <w:color w:val="auto"/>
                <w:sz w:val="24"/>
              </w:rPr>
              <w:t> </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53"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jc w:val="center"/>
              <w:rPr>
                <w:rFonts w:hint="eastAsia" w:ascii="宋体" w:hAnsi="宋体" w:eastAsia="宋体" w:cs="宋体"/>
                <w:color w:val="auto"/>
                <w:sz w:val="24"/>
                <w:lang w:eastAsia="zh-CN"/>
              </w:rPr>
            </w:pPr>
            <w:r>
              <w:rPr>
                <w:rFonts w:hint="eastAsia" w:ascii="宋体" w:hAnsi="宋体" w:cs="宋体"/>
                <w:color w:val="auto"/>
                <w:sz w:val="24"/>
                <w:lang w:val="en-US" w:eastAsia="zh-CN"/>
              </w:rPr>
              <w:t>2</w:t>
            </w:r>
          </w:p>
        </w:tc>
        <w:tc>
          <w:tcPr>
            <w:tcW w:w="4005"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ascii="宋体" w:hAnsi="宋体" w:cs="宋体"/>
                <w:color w:val="auto"/>
                <w:sz w:val="24"/>
              </w:rPr>
              <w:t>在法定期限内未提起行政复议、行政诉讼，或者经行政复议、行政诉讼最终维持原决定的</w:t>
            </w:r>
            <w:r>
              <w:rPr>
                <w:rFonts w:hint="eastAsia" w:ascii="宋体" w:hAnsi="宋体" w:cs="宋体"/>
                <w:color w:val="auto"/>
                <w:sz w:val="24"/>
              </w:rPr>
              <w:t>建设局作出的</w:t>
            </w:r>
            <w:r>
              <w:rPr>
                <w:rFonts w:ascii="宋体" w:hAnsi="宋体" w:cs="宋体"/>
                <w:color w:val="auto"/>
                <w:sz w:val="24"/>
              </w:rPr>
              <w:t>行政处罚信息，但适用简易程序作出的除外</w:t>
            </w:r>
          </w:p>
        </w:tc>
        <w:tc>
          <w:tcPr>
            <w:tcW w:w="1260"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jc w:val="center"/>
              <w:rPr>
                <w:rFonts w:ascii="宋体" w:hAnsi="宋体" w:cs="宋体"/>
                <w:color w:val="auto"/>
                <w:sz w:val="24"/>
              </w:rPr>
            </w:pPr>
            <w:r>
              <w:rPr>
                <w:rFonts w:hint="eastAsia" w:ascii="宋体" w:hAnsi="宋体" w:cs="宋体"/>
                <w:color w:val="auto"/>
                <w:sz w:val="24"/>
              </w:rPr>
              <w:t>建设局</w:t>
            </w:r>
          </w:p>
        </w:tc>
        <w:tc>
          <w:tcPr>
            <w:tcW w:w="2865"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ascii="宋体" w:hAnsi="宋体" w:cs="宋体"/>
                <w:color w:val="auto"/>
                <w:sz w:val="24"/>
              </w:rPr>
              <w:t>核实一次扣</w:t>
            </w:r>
            <w:r>
              <w:rPr>
                <w:rFonts w:hint="eastAsia" w:ascii="宋体" w:hAnsi="宋体" w:cs="宋体"/>
                <w:color w:val="auto"/>
                <w:sz w:val="24"/>
                <w:lang w:val="en-US" w:eastAsia="zh-CN"/>
              </w:rPr>
              <w:t>10</w:t>
            </w:r>
            <w:r>
              <w:rPr>
                <w:rFonts w:ascii="宋体" w:hAnsi="宋体" w:cs="宋体"/>
                <w:color w:val="auto"/>
                <w:sz w:val="24"/>
              </w:rPr>
              <w:t>分</w:t>
            </w:r>
          </w:p>
        </w:tc>
        <w:tc>
          <w:tcPr>
            <w:tcW w:w="352"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rPr>
                <w:rFonts w:ascii="宋体" w:hAnsi="宋体" w:cs="宋体"/>
                <w:color w:val="auto"/>
                <w:sz w:val="24"/>
              </w:rPr>
            </w:pPr>
            <w:r>
              <w:rPr>
                <w:rFonts w:ascii="宋体" w:hAnsi="宋体" w:cs="宋体"/>
                <w:color w:val="auto"/>
                <w:sz w:val="24"/>
              </w:rPr>
              <w:t> </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53"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jc w:val="center"/>
              <w:rPr>
                <w:rFonts w:hint="eastAsia" w:ascii="宋体" w:hAnsi="宋体" w:eastAsia="宋体" w:cs="宋体"/>
                <w:color w:val="auto"/>
                <w:sz w:val="24"/>
                <w:lang w:eastAsia="zh-CN"/>
              </w:rPr>
            </w:pPr>
            <w:r>
              <w:rPr>
                <w:rFonts w:hint="eastAsia" w:ascii="宋体" w:hAnsi="宋体" w:cs="宋体"/>
                <w:color w:val="auto"/>
                <w:sz w:val="24"/>
                <w:lang w:val="en-US" w:eastAsia="zh-CN"/>
              </w:rPr>
              <w:t>3</w:t>
            </w:r>
          </w:p>
        </w:tc>
        <w:tc>
          <w:tcPr>
            <w:tcW w:w="4005"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hint="eastAsia" w:ascii="宋体" w:hAnsi="宋体" w:cs="宋体"/>
                <w:color w:val="auto"/>
                <w:sz w:val="24"/>
              </w:rPr>
              <w:t>经司法生效判决认定构成犯罪的信息</w:t>
            </w:r>
          </w:p>
        </w:tc>
        <w:tc>
          <w:tcPr>
            <w:tcW w:w="1260"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jc w:val="center"/>
              <w:rPr>
                <w:rFonts w:ascii="宋体" w:hAnsi="宋体" w:cs="宋体"/>
                <w:color w:val="auto"/>
                <w:sz w:val="24"/>
              </w:rPr>
            </w:pPr>
            <w:r>
              <w:rPr>
                <w:rFonts w:hint="eastAsia" w:ascii="宋体" w:hAnsi="宋体" w:cs="宋体"/>
                <w:color w:val="auto"/>
                <w:sz w:val="24"/>
              </w:rPr>
              <w:t>人民法院</w:t>
            </w:r>
          </w:p>
        </w:tc>
        <w:tc>
          <w:tcPr>
            <w:tcW w:w="2865"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ascii="宋体" w:hAnsi="宋体" w:cs="宋体"/>
                <w:color w:val="auto"/>
                <w:sz w:val="24"/>
              </w:rPr>
              <w:t>核实一次扣</w:t>
            </w:r>
            <w:r>
              <w:rPr>
                <w:rFonts w:hint="eastAsia" w:ascii="宋体" w:hAnsi="宋体" w:cs="宋体"/>
                <w:color w:val="auto"/>
                <w:sz w:val="24"/>
              </w:rPr>
              <w:t>10</w:t>
            </w:r>
            <w:r>
              <w:rPr>
                <w:rFonts w:ascii="宋体" w:hAnsi="宋体" w:cs="宋体"/>
                <w:color w:val="auto"/>
                <w:sz w:val="24"/>
              </w:rPr>
              <w:t>分</w:t>
            </w:r>
          </w:p>
        </w:tc>
        <w:tc>
          <w:tcPr>
            <w:tcW w:w="352"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rPr>
                <w:rFonts w:ascii="宋体" w:hAnsi="宋体" w:cs="宋体"/>
                <w:color w:val="auto"/>
                <w:sz w:val="24"/>
              </w:rPr>
            </w:pPr>
            <w:r>
              <w:rPr>
                <w:rFonts w:ascii="宋体" w:hAnsi="宋体" w:cs="宋体"/>
                <w:color w:val="auto"/>
                <w:sz w:val="24"/>
              </w:rPr>
              <w:t> </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53"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jc w:val="center"/>
              <w:rPr>
                <w:rFonts w:hint="eastAsia" w:ascii="宋体" w:hAnsi="宋体" w:eastAsia="宋体" w:cs="宋体"/>
                <w:color w:val="auto"/>
                <w:sz w:val="24"/>
                <w:lang w:eastAsia="zh-CN"/>
              </w:rPr>
            </w:pPr>
            <w:r>
              <w:rPr>
                <w:rFonts w:hint="eastAsia" w:ascii="宋体" w:hAnsi="宋体" w:cs="宋体"/>
                <w:color w:val="auto"/>
                <w:sz w:val="24"/>
                <w:lang w:val="en-US" w:eastAsia="zh-CN"/>
              </w:rPr>
              <w:t>4</w:t>
            </w:r>
          </w:p>
        </w:tc>
        <w:tc>
          <w:tcPr>
            <w:tcW w:w="4005"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ascii="宋体" w:hAnsi="宋体" w:cs="宋体"/>
                <w:color w:val="auto"/>
                <w:sz w:val="24"/>
              </w:rPr>
              <w:t>不履行</w:t>
            </w:r>
            <w:r>
              <w:rPr>
                <w:rFonts w:hint="eastAsia" w:ascii="宋体" w:hAnsi="宋体" w:cs="宋体"/>
                <w:color w:val="auto"/>
                <w:sz w:val="24"/>
              </w:rPr>
              <w:t>建设局</w:t>
            </w:r>
            <w:r>
              <w:rPr>
                <w:rFonts w:ascii="宋体" w:hAnsi="宋体" w:cs="宋体"/>
                <w:color w:val="auto"/>
                <w:sz w:val="24"/>
              </w:rPr>
              <w:t>行政决定而被依法行政强制执行的</w:t>
            </w:r>
          </w:p>
        </w:tc>
        <w:tc>
          <w:tcPr>
            <w:tcW w:w="1260"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jc w:val="center"/>
              <w:rPr>
                <w:rFonts w:ascii="宋体" w:hAnsi="宋体" w:cs="宋体"/>
                <w:color w:val="auto"/>
                <w:sz w:val="24"/>
              </w:rPr>
            </w:pPr>
            <w:r>
              <w:rPr>
                <w:rFonts w:hint="eastAsia" w:ascii="宋体" w:hAnsi="宋体" w:cs="宋体"/>
                <w:color w:val="auto"/>
                <w:sz w:val="24"/>
              </w:rPr>
              <w:t>建设局</w:t>
            </w:r>
          </w:p>
        </w:tc>
        <w:tc>
          <w:tcPr>
            <w:tcW w:w="2865"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ascii="宋体" w:hAnsi="宋体" w:cs="宋体"/>
                <w:color w:val="auto"/>
                <w:sz w:val="24"/>
              </w:rPr>
              <w:t>核实一次扣</w:t>
            </w:r>
            <w:r>
              <w:rPr>
                <w:rFonts w:hint="eastAsia" w:ascii="宋体" w:hAnsi="宋体" w:cs="宋体"/>
                <w:color w:val="auto"/>
                <w:sz w:val="24"/>
                <w:lang w:val="en-US" w:eastAsia="zh-CN"/>
              </w:rPr>
              <w:t>10</w:t>
            </w:r>
            <w:r>
              <w:rPr>
                <w:rFonts w:ascii="宋体" w:hAnsi="宋体" w:cs="宋体"/>
                <w:color w:val="auto"/>
                <w:sz w:val="24"/>
              </w:rPr>
              <w:t>分</w:t>
            </w:r>
          </w:p>
        </w:tc>
        <w:tc>
          <w:tcPr>
            <w:tcW w:w="352"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rPr>
                <w:rFonts w:ascii="宋体" w:hAnsi="宋体" w:cs="宋体"/>
                <w:color w:val="auto"/>
                <w:sz w:val="24"/>
              </w:rPr>
            </w:pPr>
            <w:r>
              <w:rPr>
                <w:rFonts w:ascii="宋体" w:hAnsi="宋体" w:cs="宋体"/>
                <w:color w:val="auto"/>
                <w:sz w:val="24"/>
              </w:rPr>
              <w:t> </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53"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jc w:val="center"/>
              <w:rPr>
                <w:rFonts w:hint="eastAsia" w:ascii="宋体" w:hAnsi="宋体" w:eastAsia="宋体" w:cs="宋体"/>
                <w:color w:val="auto"/>
                <w:sz w:val="24"/>
                <w:lang w:eastAsia="zh-CN"/>
              </w:rPr>
            </w:pPr>
            <w:r>
              <w:rPr>
                <w:rFonts w:hint="eastAsia" w:ascii="宋体" w:hAnsi="宋体" w:cs="宋体"/>
                <w:color w:val="auto"/>
                <w:sz w:val="24"/>
                <w:lang w:val="en-US" w:eastAsia="zh-CN"/>
              </w:rPr>
              <w:t>5</w:t>
            </w:r>
          </w:p>
        </w:tc>
        <w:tc>
          <w:tcPr>
            <w:tcW w:w="4005"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ascii="宋体" w:hAnsi="宋体" w:cs="宋体"/>
                <w:color w:val="auto"/>
                <w:sz w:val="24"/>
              </w:rPr>
              <w:t>不履行判决、裁定等生效法律文书的</w:t>
            </w:r>
          </w:p>
        </w:tc>
        <w:tc>
          <w:tcPr>
            <w:tcW w:w="1260"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jc w:val="center"/>
              <w:rPr>
                <w:rFonts w:ascii="宋体" w:hAnsi="宋体" w:cs="宋体"/>
                <w:color w:val="auto"/>
                <w:sz w:val="24"/>
              </w:rPr>
            </w:pPr>
            <w:r>
              <w:rPr>
                <w:rFonts w:hint="eastAsia" w:ascii="宋体" w:hAnsi="宋体" w:cs="宋体"/>
                <w:color w:val="auto"/>
                <w:sz w:val="24"/>
              </w:rPr>
              <w:t>人民法院</w:t>
            </w:r>
          </w:p>
        </w:tc>
        <w:tc>
          <w:tcPr>
            <w:tcW w:w="2865"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ascii="宋体" w:hAnsi="宋体" w:cs="宋体"/>
                <w:color w:val="auto"/>
                <w:sz w:val="24"/>
              </w:rPr>
              <w:t>核实一次扣</w:t>
            </w:r>
            <w:r>
              <w:rPr>
                <w:rFonts w:hint="eastAsia" w:ascii="宋体" w:hAnsi="宋体" w:cs="宋体"/>
                <w:color w:val="auto"/>
                <w:sz w:val="24"/>
                <w:lang w:val="en-US" w:eastAsia="zh-CN"/>
              </w:rPr>
              <w:t>10</w:t>
            </w:r>
            <w:r>
              <w:rPr>
                <w:rFonts w:ascii="宋体" w:hAnsi="宋体" w:cs="宋体"/>
                <w:color w:val="auto"/>
                <w:sz w:val="24"/>
              </w:rPr>
              <w:t>分</w:t>
            </w:r>
          </w:p>
        </w:tc>
        <w:tc>
          <w:tcPr>
            <w:tcW w:w="352"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rPr>
                <w:rFonts w:ascii="宋体" w:hAnsi="宋体" w:cs="宋体"/>
                <w:color w:val="auto"/>
                <w:sz w:val="24"/>
              </w:rPr>
            </w:pPr>
            <w:r>
              <w:rPr>
                <w:rFonts w:ascii="宋体" w:hAnsi="宋体" w:cs="宋体"/>
                <w:color w:val="auto"/>
                <w:sz w:val="24"/>
              </w:rPr>
              <w:t> </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PrEx>
        <w:trPr>
          <w:tblCellSpacing w:w="0" w:type="dxa"/>
          <w:jc w:val="center"/>
        </w:trPr>
        <w:tc>
          <w:tcPr>
            <w:tcW w:w="353"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jc w:val="center"/>
              <w:rPr>
                <w:rFonts w:hint="eastAsia" w:ascii="宋体" w:hAnsi="宋体" w:eastAsia="宋体" w:cs="宋体"/>
                <w:color w:val="auto"/>
                <w:sz w:val="24"/>
                <w:lang w:eastAsia="zh-CN"/>
              </w:rPr>
            </w:pPr>
            <w:r>
              <w:rPr>
                <w:rFonts w:hint="eastAsia" w:ascii="宋体" w:hAnsi="宋体" w:cs="宋体"/>
                <w:color w:val="auto"/>
                <w:sz w:val="24"/>
                <w:lang w:val="en-US" w:eastAsia="zh-CN"/>
              </w:rPr>
              <w:t>6</w:t>
            </w:r>
          </w:p>
        </w:tc>
        <w:tc>
          <w:tcPr>
            <w:tcW w:w="4005"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hint="eastAsia" w:ascii="宋体" w:hAnsi="宋体" w:cs="宋体"/>
                <w:color w:val="auto"/>
                <w:sz w:val="24"/>
              </w:rPr>
              <w:t>经</w:t>
            </w:r>
            <w:r>
              <w:rPr>
                <w:rFonts w:hint="eastAsia" w:ascii="宋体" w:hAnsi="宋体" w:cs="宋体"/>
                <w:color w:val="auto"/>
                <w:sz w:val="24"/>
                <w:lang w:eastAsia="zh-CN"/>
              </w:rPr>
              <w:t>执法部门</w:t>
            </w:r>
            <w:r>
              <w:rPr>
                <w:rFonts w:hint="eastAsia" w:ascii="宋体" w:hAnsi="宋体" w:cs="宋体"/>
                <w:color w:val="auto"/>
                <w:sz w:val="24"/>
              </w:rPr>
              <w:t>依法认定的违反法律、法规和规章规定的其他信息（如责令改正决定书等行政决定载明的违法行为信息等）</w:t>
            </w:r>
          </w:p>
        </w:tc>
        <w:tc>
          <w:tcPr>
            <w:tcW w:w="1260"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jc w:val="center"/>
              <w:rPr>
                <w:rFonts w:ascii="宋体" w:hAnsi="宋体" w:cs="宋体"/>
                <w:color w:val="auto"/>
                <w:sz w:val="24"/>
              </w:rPr>
            </w:pPr>
            <w:r>
              <w:rPr>
                <w:rFonts w:hint="eastAsia" w:ascii="宋体" w:hAnsi="宋体" w:cs="宋体"/>
                <w:color w:val="auto"/>
                <w:sz w:val="24"/>
                <w:lang w:eastAsia="zh-CN"/>
              </w:rPr>
              <w:t>执法部门</w:t>
            </w:r>
          </w:p>
        </w:tc>
        <w:tc>
          <w:tcPr>
            <w:tcW w:w="2865"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ascii="宋体" w:hAnsi="宋体" w:cs="宋体"/>
                <w:color w:val="auto"/>
                <w:sz w:val="24"/>
              </w:rPr>
              <w:t>核实一次扣</w:t>
            </w:r>
            <w:r>
              <w:rPr>
                <w:rFonts w:hint="eastAsia" w:ascii="宋体" w:hAnsi="宋体" w:cs="宋体"/>
                <w:color w:val="auto"/>
                <w:sz w:val="24"/>
                <w:lang w:val="en-US" w:eastAsia="zh-CN"/>
              </w:rPr>
              <w:t>10</w:t>
            </w:r>
            <w:r>
              <w:rPr>
                <w:rFonts w:ascii="宋体" w:hAnsi="宋体" w:cs="宋体"/>
                <w:color w:val="auto"/>
                <w:sz w:val="24"/>
              </w:rPr>
              <w:t>分</w:t>
            </w:r>
          </w:p>
        </w:tc>
        <w:tc>
          <w:tcPr>
            <w:tcW w:w="352"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rPr>
                <w:rFonts w:ascii="宋体" w:hAnsi="宋体" w:cs="宋体"/>
                <w:color w:val="auto"/>
                <w:sz w:val="24"/>
              </w:rPr>
            </w:pP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53"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jc w:val="center"/>
              <w:rPr>
                <w:rFonts w:hint="default" w:ascii="宋体" w:hAnsi="宋体" w:cs="宋体"/>
                <w:color w:val="auto"/>
                <w:sz w:val="24"/>
                <w:lang w:val="en-US" w:eastAsia="zh-CN"/>
              </w:rPr>
            </w:pPr>
            <w:r>
              <w:rPr>
                <w:rFonts w:hint="eastAsia" w:ascii="宋体" w:hAnsi="宋体" w:cs="宋体"/>
                <w:color w:val="auto"/>
                <w:sz w:val="24"/>
                <w:lang w:val="en-US" w:eastAsia="zh-CN"/>
              </w:rPr>
              <w:t>7</w:t>
            </w:r>
          </w:p>
        </w:tc>
        <w:tc>
          <w:tcPr>
            <w:tcW w:w="4005"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rPr>
                <w:rFonts w:hint="eastAsia" w:ascii="宋体" w:hAnsi="宋体" w:cs="宋体"/>
                <w:color w:val="auto"/>
                <w:sz w:val="24"/>
                <w:lang w:eastAsia="zh-CN"/>
              </w:rPr>
            </w:pPr>
            <w:r>
              <w:rPr>
                <w:rFonts w:hint="eastAsia" w:ascii="宋体" w:hAnsi="宋体" w:cs="宋体"/>
                <w:color w:val="auto"/>
                <w:sz w:val="24"/>
                <w:lang w:eastAsia="zh-CN"/>
              </w:rPr>
              <w:t>企业或企业员工被认定为涉黑涉恶，但未起诉的信息</w:t>
            </w:r>
          </w:p>
        </w:tc>
        <w:tc>
          <w:tcPr>
            <w:tcW w:w="1260"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jc w:val="center"/>
              <w:rPr>
                <w:rFonts w:hint="eastAsia" w:ascii="宋体" w:hAnsi="宋体" w:cs="宋体"/>
                <w:color w:val="auto"/>
                <w:sz w:val="24"/>
                <w:lang w:eastAsia="zh-CN"/>
              </w:rPr>
            </w:pPr>
            <w:r>
              <w:rPr>
                <w:rFonts w:hint="eastAsia" w:ascii="宋体" w:hAnsi="宋体" w:cs="宋体"/>
                <w:color w:val="auto"/>
                <w:sz w:val="24"/>
                <w:lang w:eastAsia="zh-CN"/>
              </w:rPr>
              <w:t>检察院</w:t>
            </w:r>
          </w:p>
        </w:tc>
        <w:tc>
          <w:tcPr>
            <w:tcW w:w="2865"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rPr>
                <w:rFonts w:hint="eastAsia" w:ascii="宋体" w:hAnsi="宋体" w:cs="宋体"/>
                <w:color w:val="auto"/>
                <w:sz w:val="24"/>
                <w:lang w:eastAsia="zh-CN"/>
              </w:rPr>
            </w:pPr>
            <w:r>
              <w:rPr>
                <w:rFonts w:hint="eastAsia" w:ascii="宋体" w:hAnsi="宋体" w:cs="宋体"/>
                <w:color w:val="auto"/>
                <w:sz w:val="24"/>
                <w:lang w:eastAsia="zh-CN"/>
              </w:rPr>
              <w:t>核实一次扣</w:t>
            </w:r>
            <w:r>
              <w:rPr>
                <w:rFonts w:hint="eastAsia" w:ascii="宋体" w:hAnsi="宋体" w:cs="宋体"/>
                <w:color w:val="auto"/>
                <w:sz w:val="24"/>
                <w:lang w:val="en-US" w:eastAsia="zh-CN"/>
              </w:rPr>
              <w:t>10分，下一期信用等级直接列入D级</w:t>
            </w:r>
          </w:p>
        </w:tc>
        <w:tc>
          <w:tcPr>
            <w:tcW w:w="352"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rPr>
                <w:rFonts w:ascii="宋体" w:hAnsi="宋体" w:cs="宋体"/>
                <w:color w:val="auto"/>
                <w:sz w:val="24"/>
              </w:rPr>
            </w:pP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353"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jc w:val="center"/>
              <w:rPr>
                <w:rFonts w:hint="default" w:ascii="宋体" w:hAnsi="宋体" w:cs="宋体"/>
                <w:color w:val="auto"/>
                <w:sz w:val="24"/>
                <w:lang w:val="en-US" w:eastAsia="zh-CN"/>
              </w:rPr>
            </w:pPr>
            <w:r>
              <w:rPr>
                <w:rFonts w:hint="eastAsia" w:ascii="宋体" w:hAnsi="宋体" w:cs="宋体"/>
                <w:color w:val="auto"/>
                <w:sz w:val="24"/>
                <w:lang w:val="en-US" w:eastAsia="zh-CN"/>
              </w:rPr>
              <w:t>8</w:t>
            </w:r>
          </w:p>
        </w:tc>
        <w:tc>
          <w:tcPr>
            <w:tcW w:w="4005"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rPr>
                <w:rFonts w:hint="eastAsia" w:ascii="宋体" w:hAnsi="宋体" w:eastAsia="宋体" w:cs="宋体"/>
                <w:color w:val="auto"/>
                <w:sz w:val="24"/>
                <w:lang w:eastAsia="zh-CN"/>
              </w:rPr>
            </w:pPr>
            <w:r>
              <w:rPr>
                <w:rFonts w:hint="eastAsia" w:ascii="宋体" w:hAnsi="宋体" w:cs="宋体"/>
                <w:color w:val="auto"/>
                <w:sz w:val="24"/>
                <w:lang w:eastAsia="zh-CN"/>
              </w:rPr>
              <w:t>企业或企业员工因涉黑涉恶，经司法生效判决构成犯罪的信息</w:t>
            </w:r>
          </w:p>
        </w:tc>
        <w:tc>
          <w:tcPr>
            <w:tcW w:w="1260"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jc w:val="center"/>
              <w:rPr>
                <w:rFonts w:hint="eastAsia" w:ascii="宋体" w:hAnsi="宋体" w:eastAsia="宋体" w:cs="宋体"/>
                <w:color w:val="auto"/>
                <w:sz w:val="24"/>
                <w:lang w:eastAsia="zh-CN"/>
              </w:rPr>
            </w:pPr>
            <w:r>
              <w:rPr>
                <w:rFonts w:hint="eastAsia" w:ascii="宋体" w:hAnsi="宋体" w:cs="宋体"/>
                <w:color w:val="auto"/>
                <w:sz w:val="24"/>
                <w:lang w:eastAsia="zh-CN"/>
              </w:rPr>
              <w:t>人民法院</w:t>
            </w:r>
          </w:p>
        </w:tc>
        <w:tc>
          <w:tcPr>
            <w:tcW w:w="2865"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rPr>
                <w:rFonts w:hint="default" w:ascii="宋体" w:hAnsi="宋体" w:eastAsia="宋体" w:cs="宋体"/>
                <w:color w:val="auto"/>
                <w:sz w:val="24"/>
                <w:lang w:val="en-US" w:eastAsia="zh-CN"/>
              </w:rPr>
            </w:pPr>
            <w:r>
              <w:rPr>
                <w:rFonts w:hint="eastAsia" w:ascii="宋体" w:hAnsi="宋体" w:cs="宋体"/>
                <w:color w:val="auto"/>
                <w:sz w:val="24"/>
                <w:lang w:eastAsia="zh-CN"/>
              </w:rPr>
              <w:t>核实一次扣</w:t>
            </w:r>
            <w:r>
              <w:rPr>
                <w:rFonts w:hint="eastAsia" w:ascii="宋体" w:hAnsi="宋体" w:cs="宋体"/>
                <w:color w:val="auto"/>
                <w:sz w:val="24"/>
                <w:lang w:val="en-US" w:eastAsia="zh-CN"/>
              </w:rPr>
              <w:t>15分，下一期信用等级直接列入D级</w:t>
            </w:r>
          </w:p>
        </w:tc>
        <w:tc>
          <w:tcPr>
            <w:tcW w:w="352"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rPr>
                <w:rFonts w:ascii="宋体" w:hAnsi="宋体" w:cs="宋体"/>
                <w:color w:val="auto"/>
                <w:sz w:val="24"/>
              </w:rPr>
            </w:pP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PrEx>
        <w:trPr>
          <w:tblCellSpacing w:w="0" w:type="dxa"/>
          <w:jc w:val="center"/>
        </w:trPr>
        <w:tc>
          <w:tcPr>
            <w:tcW w:w="353"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jc w:val="center"/>
              <w:rPr>
                <w:rFonts w:hint="default" w:ascii="宋体" w:hAnsi="宋体" w:cs="宋体"/>
                <w:color w:val="auto"/>
                <w:sz w:val="24"/>
                <w:lang w:val="en-US" w:eastAsia="zh-CN"/>
              </w:rPr>
            </w:pPr>
            <w:r>
              <w:rPr>
                <w:rFonts w:hint="eastAsia" w:ascii="宋体" w:hAnsi="宋体" w:cs="宋体"/>
                <w:color w:val="auto"/>
                <w:sz w:val="24"/>
                <w:lang w:val="en-US" w:eastAsia="zh-CN"/>
              </w:rPr>
              <w:t>9</w:t>
            </w:r>
          </w:p>
        </w:tc>
        <w:tc>
          <w:tcPr>
            <w:tcW w:w="4005"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rPr>
                <w:rFonts w:hint="eastAsia" w:ascii="宋体" w:hAnsi="宋体" w:cs="宋体"/>
                <w:color w:val="auto"/>
                <w:sz w:val="24"/>
                <w:lang w:eastAsia="zh-CN"/>
              </w:rPr>
            </w:pPr>
            <w:r>
              <w:rPr>
                <w:rFonts w:hint="eastAsia" w:ascii="宋体" w:hAnsi="宋体" w:cs="宋体"/>
                <w:color w:val="auto"/>
                <w:sz w:val="24"/>
                <w:lang w:eastAsia="zh-CN"/>
              </w:rPr>
              <w:t>被列入严重失信名单的</w:t>
            </w:r>
          </w:p>
        </w:tc>
        <w:tc>
          <w:tcPr>
            <w:tcW w:w="1260"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jc w:val="center"/>
              <w:rPr>
                <w:rFonts w:hint="eastAsia" w:ascii="宋体" w:hAnsi="宋体" w:cs="宋体"/>
                <w:color w:val="auto"/>
                <w:sz w:val="24"/>
                <w:lang w:eastAsia="zh-CN"/>
              </w:rPr>
            </w:pPr>
            <w:r>
              <w:rPr>
                <w:rFonts w:hint="eastAsia" w:ascii="宋体" w:hAnsi="宋体" w:cs="宋体"/>
                <w:color w:val="auto"/>
                <w:sz w:val="24"/>
                <w:lang w:eastAsia="zh-CN"/>
              </w:rPr>
              <w:t>省级单位</w:t>
            </w:r>
          </w:p>
        </w:tc>
        <w:tc>
          <w:tcPr>
            <w:tcW w:w="2865"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rPr>
                <w:rFonts w:hint="default" w:ascii="宋体" w:hAnsi="宋体" w:cs="宋体"/>
                <w:color w:val="auto"/>
                <w:sz w:val="24"/>
                <w:lang w:val="en-US" w:eastAsia="zh-CN"/>
              </w:rPr>
            </w:pPr>
            <w:r>
              <w:rPr>
                <w:rFonts w:hint="eastAsia" w:ascii="宋体" w:hAnsi="宋体" w:cs="宋体"/>
                <w:color w:val="auto"/>
                <w:sz w:val="24"/>
                <w:lang w:eastAsia="zh-CN"/>
              </w:rPr>
              <w:t>核实一次扣</w:t>
            </w:r>
            <w:r>
              <w:rPr>
                <w:rFonts w:hint="eastAsia" w:ascii="宋体" w:hAnsi="宋体" w:cs="宋体"/>
                <w:color w:val="auto"/>
                <w:sz w:val="24"/>
                <w:lang w:val="en-US" w:eastAsia="zh-CN"/>
              </w:rPr>
              <w:t>30分</w:t>
            </w:r>
          </w:p>
        </w:tc>
        <w:tc>
          <w:tcPr>
            <w:tcW w:w="352"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rPr>
                <w:rFonts w:ascii="宋体" w:hAnsi="宋体" w:cs="宋体"/>
                <w:color w:val="auto"/>
                <w:sz w:val="24"/>
              </w:rPr>
            </w:pP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4358" w:type="dxa"/>
            <w:gridSpan w:val="2"/>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spacing w:line="450" w:lineRule="atLeast"/>
              <w:rPr>
                <w:rFonts w:ascii="宋体" w:hAnsi="宋体" w:cs="宋体"/>
                <w:color w:val="auto"/>
                <w:sz w:val="24"/>
              </w:rPr>
            </w:pPr>
            <w:r>
              <w:rPr>
                <w:rFonts w:ascii="宋体" w:hAnsi="宋体" w:cs="宋体"/>
                <w:color w:val="auto"/>
                <w:sz w:val="24"/>
              </w:rPr>
              <w:t>合计</w:t>
            </w:r>
          </w:p>
        </w:tc>
        <w:tc>
          <w:tcPr>
            <w:tcW w:w="1260"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rPr>
                <w:rFonts w:ascii="宋体" w:hAnsi="宋体" w:cs="宋体"/>
                <w:color w:val="auto"/>
                <w:sz w:val="24"/>
              </w:rPr>
            </w:pPr>
            <w:r>
              <w:rPr>
                <w:rFonts w:ascii="宋体" w:hAnsi="宋体" w:cs="宋体"/>
                <w:color w:val="auto"/>
                <w:sz w:val="24"/>
              </w:rPr>
              <w:t> </w:t>
            </w:r>
          </w:p>
        </w:tc>
        <w:tc>
          <w:tcPr>
            <w:tcW w:w="2865"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rPr>
                <w:rFonts w:ascii="宋体" w:hAnsi="宋体" w:cs="宋体"/>
                <w:color w:val="auto"/>
                <w:sz w:val="24"/>
              </w:rPr>
            </w:pPr>
            <w:r>
              <w:rPr>
                <w:rFonts w:ascii="宋体" w:hAnsi="宋体" w:cs="宋体"/>
                <w:color w:val="auto"/>
                <w:sz w:val="24"/>
              </w:rPr>
              <w:t> </w:t>
            </w:r>
          </w:p>
        </w:tc>
        <w:tc>
          <w:tcPr>
            <w:tcW w:w="352" w:type="dxa"/>
            <w:tcBorders>
              <w:top w:val="inset" w:color="808080" w:sz="6" w:space="0"/>
              <w:left w:val="inset" w:color="808080" w:sz="6" w:space="0"/>
              <w:bottom w:val="inset" w:color="808080" w:sz="6" w:space="0"/>
              <w:right w:val="inset" w:color="808080" w:sz="6" w:space="0"/>
            </w:tcBorders>
            <w:tcMar>
              <w:top w:w="8" w:type="dxa"/>
              <w:left w:w="8" w:type="dxa"/>
              <w:bottom w:w="8" w:type="dxa"/>
              <w:right w:w="8" w:type="dxa"/>
            </w:tcMar>
            <w:vAlign w:val="center"/>
          </w:tcPr>
          <w:p>
            <w:pPr>
              <w:rPr>
                <w:rFonts w:ascii="宋体" w:hAnsi="宋体" w:cs="宋体"/>
                <w:color w:val="auto"/>
                <w:sz w:val="24"/>
              </w:rPr>
            </w:pPr>
            <w:r>
              <w:rPr>
                <w:rFonts w:ascii="宋体" w:hAnsi="宋体" w:cs="宋体"/>
                <w:color w:val="auto"/>
                <w:sz w:val="24"/>
              </w:rPr>
              <w:t> </w:t>
            </w:r>
          </w:p>
        </w:tc>
      </w:tr>
    </w:tbl>
    <w:p>
      <w:pPr>
        <w:spacing w:line="450" w:lineRule="atLeast"/>
        <w:ind w:firstLine="240" w:firstLineChars="100"/>
        <w:rPr>
          <w:rFonts w:ascii="宋体" w:hAnsi="宋体" w:cs="宋体"/>
          <w:color w:val="auto"/>
          <w:sz w:val="24"/>
        </w:rPr>
      </w:pPr>
      <w:r>
        <w:rPr>
          <w:rFonts w:hint="eastAsia" w:ascii="宋体" w:hAnsi="宋体" w:cs="宋体"/>
          <w:color w:val="auto"/>
          <w:sz w:val="24"/>
        </w:rPr>
        <w:t>备注</w:t>
      </w:r>
      <w:r>
        <w:rPr>
          <w:rFonts w:ascii="宋体" w:hAnsi="宋体" w:cs="宋体"/>
          <w:color w:val="auto"/>
          <w:sz w:val="24"/>
        </w:rPr>
        <w:t>：以上</w:t>
      </w:r>
      <w:r>
        <w:rPr>
          <w:rFonts w:hint="eastAsia" w:ascii="宋体" w:hAnsi="宋体" w:cs="宋体"/>
          <w:color w:val="auto"/>
          <w:sz w:val="24"/>
        </w:rPr>
        <w:t>扣</w:t>
      </w:r>
      <w:r>
        <w:rPr>
          <w:rFonts w:ascii="宋体" w:hAnsi="宋体" w:cs="宋体"/>
          <w:color w:val="auto"/>
          <w:sz w:val="24"/>
        </w:rPr>
        <w:t>分项目按高原则</w:t>
      </w:r>
      <w:r>
        <w:rPr>
          <w:rFonts w:hint="eastAsia" w:ascii="宋体" w:hAnsi="宋体" w:cs="宋体"/>
          <w:color w:val="auto"/>
          <w:sz w:val="24"/>
        </w:rPr>
        <w:t>扣</w:t>
      </w:r>
      <w:r>
        <w:rPr>
          <w:rFonts w:ascii="宋体" w:hAnsi="宋体" w:cs="宋体"/>
          <w:color w:val="auto"/>
          <w:sz w:val="24"/>
        </w:rPr>
        <w:t>分，同一事件不重复计分。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BC7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qFormat/>
    <w:uiPriority w:val="0"/>
    <w:pPr>
      <w:widowControl w:val="0"/>
      <w:spacing w:line="360" w:lineRule="auto"/>
      <w:ind w:firstLine="200"/>
      <w:jc w:val="both"/>
    </w:pPr>
    <w:rPr>
      <w:rFonts w:ascii="Times New Roman" w:hAnsi="Times New Roman" w:eastAsia="宋体" w:cs="Times New Roman"/>
      <w:kern w:val="2"/>
      <w:sz w:val="24"/>
      <w:lang w:val="en-US" w:eastAsia="zh-CN" w:bidi="ar-SA"/>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2022-03-22T02:50:05Z</dcterms:created>
  <dc:creator>Administrator</dc:creator>
  <cp:lastModifiedBy>啰嗦彬</cp:lastModifiedBy>
  <dcterms:modified xsi:type="dcterms:W3CDTF">2022-03-22T02:50:09Z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DA37D0AB914647FDB9BAA8D4DE03E7C3</vt:lpwstr>
  </property>
</Properties>
</file>