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jc w:val="center"/>
        <w:rPr>
          <w:rFonts w:eastAsia="方正小标宋简体"/>
          <w:spacing w:val="20"/>
          <w:sz w:val="44"/>
          <w:szCs w:val="44"/>
        </w:rPr>
      </w:pPr>
      <w:bookmarkStart w:id="0" w:name="_GoBack"/>
      <w:bookmarkEnd w:id="0"/>
      <w:r>
        <w:rPr>
          <w:rFonts w:hint="eastAsia" w:eastAsia="方正小标宋简体" w:cs="方正小标宋简体"/>
          <w:spacing w:val="20"/>
          <w:sz w:val="44"/>
          <w:szCs w:val="44"/>
        </w:rPr>
        <w:t>推进农村生活垃圾分类工作实施方案</w:t>
      </w:r>
    </w:p>
    <w:p>
      <w:pPr>
        <w:autoSpaceDE w:val="0"/>
        <w:autoSpaceDN w:val="0"/>
        <w:adjustRightInd w:val="0"/>
        <w:spacing w:line="700" w:lineRule="exact"/>
        <w:jc w:val="center"/>
        <w:rPr>
          <w:rFonts w:hint="eastAsia" w:ascii="楷体_GB2312" w:hAnsi="方正小标宋简体" w:eastAsia="楷体_GB2312" w:cs="方正小标宋简体"/>
          <w:b/>
          <w:spacing w:val="20"/>
          <w:sz w:val="32"/>
          <w:szCs w:val="44"/>
        </w:rPr>
      </w:pPr>
      <w:r>
        <w:rPr>
          <w:rFonts w:hint="eastAsia" w:ascii="楷体_GB2312" w:hAnsi="方正小标宋简体" w:eastAsia="楷体_GB2312" w:cs="方正小标宋简体"/>
          <w:spacing w:val="20"/>
          <w:kern w:val="0"/>
          <w:sz w:val="32"/>
          <w:szCs w:val="44"/>
          <w:lang w:val="zh-CN"/>
        </w:rPr>
        <w:t>（征求意见稿）</w:t>
      </w:r>
    </w:p>
    <w:p>
      <w:pPr>
        <w:spacing w:line="590" w:lineRule="exact"/>
        <w:rPr>
          <w:rFonts w:eastAsia="仿宋_GB2312"/>
          <w:spacing w:val="-6"/>
          <w:sz w:val="32"/>
          <w:szCs w:val="32"/>
        </w:rPr>
      </w:pP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为深入践行习近平生态文明思想，贯彻落实习近平总书记关于垃圾分类系列重要指示精神，进一步推进我市农村生活垃圾分类工作，按照省委省政府垃圾分类部署，根据《中共浙江省委办公厅浙江省人民政府办公厅关于扎实推进农村生活垃圾分类处理工作的通知》《浙江省农村生活垃圾分类处理工</w:t>
      </w:r>
      <w:r>
        <w:rPr>
          <w:rFonts w:hint="eastAsia" w:ascii="仿宋_GB2312" w:eastAsia="仿宋_GB2312" w:cs="仿宋_GB2312"/>
          <w:spacing w:val="-6"/>
          <w:sz w:val="32"/>
          <w:szCs w:val="32"/>
        </w:rPr>
        <w:t>作</w:t>
      </w:r>
      <w:r>
        <w:rPr>
          <w:rFonts w:hint="eastAsia" w:ascii="仿宋_GB2312" w:eastAsia="仿宋_GB2312"/>
          <w:spacing w:val="-6"/>
          <w:sz w:val="32"/>
          <w:szCs w:val="32"/>
        </w:rPr>
        <w:t>“</w:t>
      </w:r>
      <w:r>
        <w:rPr>
          <w:rFonts w:hint="eastAsia" w:ascii="仿宋_GB2312" w:eastAsia="仿宋_GB2312" w:cs="仿宋_GB2312"/>
          <w:spacing w:val="-6"/>
          <w:sz w:val="32"/>
          <w:szCs w:val="32"/>
        </w:rPr>
        <w:t>三步走</w:t>
      </w:r>
      <w:r>
        <w:rPr>
          <w:rFonts w:hint="eastAsia" w:ascii="仿宋_GB2312" w:eastAsia="仿宋_GB2312"/>
          <w:spacing w:val="-6"/>
          <w:sz w:val="32"/>
          <w:szCs w:val="32"/>
        </w:rPr>
        <w:t>”</w:t>
      </w:r>
      <w:r>
        <w:rPr>
          <w:rFonts w:hint="eastAsia" w:ascii="仿宋_GB2312" w:eastAsia="仿宋_GB2312" w:cs="仿宋_GB2312"/>
          <w:spacing w:val="-6"/>
          <w:sz w:val="32"/>
          <w:szCs w:val="32"/>
        </w:rPr>
        <w:t>实</w:t>
      </w:r>
      <w:r>
        <w:rPr>
          <w:rFonts w:hint="eastAsia" w:eastAsia="仿宋_GB2312" w:cs="仿宋_GB2312"/>
          <w:spacing w:val="-6"/>
          <w:sz w:val="32"/>
          <w:szCs w:val="32"/>
        </w:rPr>
        <w:t>施方案》《金华市农村生活垃圾分类管理条例》等文件精神，结合我市实际，制定以下实施方案。</w:t>
      </w:r>
    </w:p>
    <w:p>
      <w:pPr>
        <w:adjustRightInd w:val="0"/>
        <w:snapToGrid w:val="0"/>
        <w:spacing w:line="590" w:lineRule="exact"/>
        <w:ind w:firstLine="616" w:firstLineChars="200"/>
        <w:rPr>
          <w:rFonts w:eastAsia="黑体"/>
          <w:spacing w:val="-6"/>
          <w:sz w:val="32"/>
          <w:szCs w:val="32"/>
        </w:rPr>
      </w:pPr>
      <w:r>
        <w:rPr>
          <w:rFonts w:hint="eastAsia" w:eastAsia="黑体" w:cs="黑体"/>
          <w:spacing w:val="-6"/>
          <w:sz w:val="32"/>
          <w:szCs w:val="32"/>
        </w:rPr>
        <w:t>一、总体要求</w:t>
      </w:r>
    </w:p>
    <w:p>
      <w:pPr>
        <w:adjustRightInd w:val="0"/>
        <w:snapToGrid w:val="0"/>
        <w:spacing w:line="590" w:lineRule="exact"/>
        <w:ind w:firstLine="616" w:firstLineChars="200"/>
        <w:rPr>
          <w:rFonts w:hint="eastAsia" w:ascii="仿宋_GB2312" w:eastAsia="仿宋_GB2312"/>
          <w:spacing w:val="-6"/>
          <w:sz w:val="32"/>
          <w:szCs w:val="32"/>
        </w:rPr>
      </w:pPr>
      <w:r>
        <w:rPr>
          <w:rFonts w:hint="eastAsia" w:eastAsia="楷体_GB2312" w:cs="楷体_GB2312"/>
          <w:spacing w:val="-6"/>
          <w:sz w:val="32"/>
          <w:szCs w:val="32"/>
        </w:rPr>
        <w:t>（一）指导思想。</w:t>
      </w:r>
      <w:r>
        <w:rPr>
          <w:rFonts w:hint="eastAsia" w:eastAsia="仿宋_GB2312" w:cs="仿宋_GB2312"/>
          <w:color w:val="000000"/>
          <w:spacing w:val="-6"/>
          <w:sz w:val="32"/>
          <w:szCs w:val="32"/>
        </w:rPr>
        <w:t>深入贯彻党中央、国务院关于乡村振兴的决策部署，按照省委、省政府关于建立和完善农村生活垃圾分类处理</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四分四定</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体系要求，</w:t>
      </w:r>
      <w:r>
        <w:rPr>
          <w:rFonts w:hint="eastAsia" w:ascii="仿宋_GB2312" w:eastAsia="仿宋_GB2312" w:cs="仿宋_GB2312"/>
          <w:spacing w:val="-6"/>
          <w:sz w:val="32"/>
          <w:szCs w:val="32"/>
        </w:rPr>
        <w:t>全面落实垃圾分类各项制度，健全完善分类投放、分类收集、分类运输、分类处理的农村生活垃圾分类体系，推进农村生活垃圾减量化、资源化、无害化处理，建立依法治理、政府推动、全民参与的农村生活垃圾分类工作机制，提升农村生活垃圾分类工作水平，进一步优化农村人居环境。</w:t>
      </w:r>
    </w:p>
    <w:p>
      <w:pPr>
        <w:adjustRightInd w:val="0"/>
        <w:snapToGrid w:val="0"/>
        <w:spacing w:line="590" w:lineRule="exact"/>
        <w:ind w:firstLine="616" w:firstLineChars="200"/>
        <w:rPr>
          <w:rFonts w:eastAsia="仿宋_GB2312"/>
          <w:spacing w:val="-6"/>
          <w:sz w:val="32"/>
          <w:szCs w:val="32"/>
        </w:rPr>
      </w:pPr>
      <w:r>
        <w:rPr>
          <w:rFonts w:hint="eastAsia" w:eastAsia="楷体_GB2312" w:cs="楷体_GB2312"/>
          <w:spacing w:val="-6"/>
          <w:sz w:val="32"/>
          <w:szCs w:val="32"/>
        </w:rPr>
        <w:t>（二）主要目标。</w:t>
      </w:r>
      <w:r>
        <w:rPr>
          <w:rFonts w:hint="eastAsia" w:ascii="仿宋_GB2312" w:eastAsia="仿宋_GB2312" w:cs="仿宋_GB2312"/>
          <w:spacing w:val="-6"/>
          <w:sz w:val="32"/>
          <w:szCs w:val="32"/>
        </w:rPr>
        <w:t>坚持以控制增量、促进减量、提升质量为目标，深化落实农村生活垃圾农户源头一次分类和保洁员（分拣员）二次分拣的</w:t>
      </w:r>
      <w:r>
        <w:rPr>
          <w:rFonts w:hint="eastAsia" w:ascii="仿宋_GB2312" w:eastAsia="仿宋_GB2312"/>
          <w:spacing w:val="-6"/>
          <w:sz w:val="32"/>
          <w:szCs w:val="32"/>
        </w:rPr>
        <w:t>“</w:t>
      </w:r>
      <w:r>
        <w:rPr>
          <w:rFonts w:hint="eastAsia" w:ascii="仿宋_GB2312" w:eastAsia="仿宋_GB2312" w:cs="仿宋_GB2312"/>
          <w:spacing w:val="-6"/>
          <w:sz w:val="32"/>
          <w:szCs w:val="32"/>
        </w:rPr>
        <w:t>二次四分法</w:t>
      </w:r>
      <w:r>
        <w:rPr>
          <w:rFonts w:hint="eastAsia" w:ascii="仿宋_GB2312" w:eastAsia="仿宋_GB2312"/>
          <w:spacing w:val="-6"/>
          <w:sz w:val="32"/>
          <w:szCs w:val="32"/>
        </w:rPr>
        <w:t>”</w:t>
      </w:r>
      <w:r>
        <w:rPr>
          <w:rFonts w:hint="eastAsia" w:ascii="仿宋_GB2312" w:eastAsia="仿宋_GB2312" w:cs="仿宋_GB2312"/>
          <w:spacing w:val="-6"/>
          <w:sz w:val="32"/>
          <w:szCs w:val="32"/>
        </w:rPr>
        <w:t>操作模式，在前一阶段合格村基本全覆盖的基础上，全面开展垃圾分类示范村创建行动，进一步提升农村生活垃圾分类处理的能力与水平。</w:t>
      </w:r>
      <w:r>
        <w:rPr>
          <w:rFonts w:eastAsia="仿宋_GB2312"/>
          <w:spacing w:val="-6"/>
          <w:sz w:val="32"/>
          <w:szCs w:val="32"/>
        </w:rPr>
        <w:t>2020</w:t>
      </w:r>
      <w:r>
        <w:rPr>
          <w:rFonts w:hint="eastAsia" w:eastAsia="仿宋_GB2312" w:cs="仿宋_GB2312"/>
          <w:spacing w:val="-6"/>
          <w:sz w:val="32"/>
          <w:szCs w:val="32"/>
        </w:rPr>
        <w:t>年底前，全市</w:t>
      </w:r>
      <w:r>
        <w:rPr>
          <w:rFonts w:eastAsia="仿宋_GB2312"/>
          <w:spacing w:val="-6"/>
          <w:sz w:val="32"/>
          <w:szCs w:val="32"/>
        </w:rPr>
        <w:t>13</w:t>
      </w:r>
      <w:r>
        <w:rPr>
          <w:rFonts w:hint="eastAsia" w:eastAsia="仿宋_GB2312" w:cs="仿宋_GB2312"/>
          <w:spacing w:val="-6"/>
          <w:sz w:val="32"/>
          <w:szCs w:val="32"/>
        </w:rPr>
        <w:t>个镇（街道）（稠城除外）均建有机械生物降解处理站点</w:t>
      </w:r>
      <w:r>
        <w:rPr>
          <w:rFonts w:eastAsia="仿宋_GB2312"/>
          <w:spacing w:val="-6"/>
          <w:sz w:val="32"/>
          <w:szCs w:val="32"/>
        </w:rPr>
        <w:t>1</w:t>
      </w:r>
      <w:r>
        <w:rPr>
          <w:rFonts w:hint="eastAsia" w:eastAsia="仿宋_GB2312" w:cs="仿宋_GB2312"/>
          <w:spacing w:val="-6"/>
          <w:sz w:val="32"/>
          <w:szCs w:val="32"/>
        </w:rPr>
        <w:t>个以上，累计创建农村生活垃圾分类示范村</w:t>
      </w:r>
      <w:r>
        <w:rPr>
          <w:rFonts w:eastAsia="仿宋_GB2312"/>
          <w:spacing w:val="-6"/>
          <w:sz w:val="32"/>
          <w:szCs w:val="32"/>
        </w:rPr>
        <w:t>60</w:t>
      </w:r>
      <w:r>
        <w:rPr>
          <w:rFonts w:hint="eastAsia" w:eastAsia="仿宋_GB2312" w:cs="仿宋_GB2312"/>
          <w:spacing w:val="-6"/>
          <w:sz w:val="32"/>
          <w:szCs w:val="32"/>
        </w:rPr>
        <w:t>个，优秀村基本全覆盖，农村生活垃圾回收利用率达到</w:t>
      </w:r>
      <w:r>
        <w:rPr>
          <w:rFonts w:eastAsia="仿宋_GB2312"/>
          <w:spacing w:val="-6"/>
          <w:sz w:val="32"/>
          <w:szCs w:val="32"/>
        </w:rPr>
        <w:t>45%</w:t>
      </w:r>
      <w:r>
        <w:rPr>
          <w:rFonts w:hint="eastAsia" w:eastAsia="仿宋_GB2312" w:cs="仿宋_GB2312"/>
          <w:spacing w:val="-6"/>
          <w:sz w:val="32"/>
          <w:szCs w:val="32"/>
        </w:rPr>
        <w:t>以上、资源化利用率达到</w:t>
      </w:r>
      <w:r>
        <w:rPr>
          <w:rFonts w:eastAsia="仿宋_GB2312"/>
          <w:spacing w:val="-6"/>
          <w:sz w:val="32"/>
          <w:szCs w:val="32"/>
        </w:rPr>
        <w:t>100%</w:t>
      </w:r>
      <w:r>
        <w:rPr>
          <w:rFonts w:hint="eastAsia" w:eastAsia="仿宋_GB2312" w:cs="仿宋_GB2312"/>
          <w:spacing w:val="-6"/>
          <w:sz w:val="32"/>
          <w:szCs w:val="32"/>
        </w:rPr>
        <w:t>、无害化处理率达到</w:t>
      </w:r>
      <w:r>
        <w:rPr>
          <w:rFonts w:eastAsia="仿宋_GB2312"/>
          <w:spacing w:val="-6"/>
          <w:sz w:val="32"/>
          <w:szCs w:val="32"/>
        </w:rPr>
        <w:t>100%</w:t>
      </w:r>
      <w:r>
        <w:rPr>
          <w:rFonts w:hint="eastAsia" w:eastAsia="仿宋_GB2312" w:cs="仿宋_GB2312"/>
          <w:spacing w:val="-6"/>
          <w:sz w:val="32"/>
          <w:szCs w:val="32"/>
        </w:rPr>
        <w:t>。到</w:t>
      </w:r>
      <w:r>
        <w:rPr>
          <w:rFonts w:eastAsia="仿宋_GB2312"/>
          <w:spacing w:val="-6"/>
          <w:sz w:val="32"/>
          <w:szCs w:val="32"/>
        </w:rPr>
        <w:t>2021</w:t>
      </w:r>
      <w:r>
        <w:rPr>
          <w:rFonts w:hint="eastAsia" w:eastAsia="仿宋_GB2312" w:cs="仿宋_GB2312"/>
          <w:spacing w:val="-6"/>
          <w:sz w:val="32"/>
          <w:szCs w:val="32"/>
        </w:rPr>
        <w:t>年底，累计创建农村生活垃圾分类示范村</w:t>
      </w:r>
      <w:r>
        <w:rPr>
          <w:rFonts w:eastAsia="仿宋_GB2312"/>
          <w:spacing w:val="-6"/>
          <w:sz w:val="32"/>
          <w:szCs w:val="32"/>
        </w:rPr>
        <w:t>90</w:t>
      </w:r>
      <w:r>
        <w:rPr>
          <w:rFonts w:hint="eastAsia" w:eastAsia="仿宋_GB2312" w:cs="仿宋_GB2312"/>
          <w:spacing w:val="-6"/>
          <w:sz w:val="32"/>
          <w:szCs w:val="32"/>
        </w:rPr>
        <w:t>个、实现农村生活垃圾回收利用率达到</w:t>
      </w:r>
      <w:r>
        <w:rPr>
          <w:rFonts w:eastAsia="仿宋_GB2312"/>
          <w:spacing w:val="-6"/>
          <w:sz w:val="32"/>
          <w:szCs w:val="32"/>
        </w:rPr>
        <w:t>60%</w:t>
      </w:r>
      <w:r>
        <w:rPr>
          <w:rFonts w:hint="eastAsia" w:eastAsia="仿宋_GB2312" w:cs="仿宋_GB2312"/>
          <w:spacing w:val="-6"/>
          <w:sz w:val="32"/>
          <w:szCs w:val="32"/>
        </w:rPr>
        <w:t>以上、资源化利用率达到</w:t>
      </w:r>
      <w:r>
        <w:rPr>
          <w:rFonts w:eastAsia="仿宋_GB2312"/>
          <w:spacing w:val="-6"/>
          <w:sz w:val="32"/>
          <w:szCs w:val="32"/>
        </w:rPr>
        <w:t>100%</w:t>
      </w:r>
      <w:r>
        <w:rPr>
          <w:rFonts w:hint="eastAsia" w:eastAsia="仿宋_GB2312" w:cs="仿宋_GB2312"/>
          <w:spacing w:val="-6"/>
          <w:sz w:val="32"/>
          <w:szCs w:val="32"/>
        </w:rPr>
        <w:t>。到</w:t>
      </w:r>
      <w:r>
        <w:rPr>
          <w:rFonts w:eastAsia="仿宋_GB2312"/>
          <w:spacing w:val="-6"/>
          <w:sz w:val="32"/>
          <w:szCs w:val="32"/>
        </w:rPr>
        <w:t>2022</w:t>
      </w:r>
      <w:r>
        <w:rPr>
          <w:rFonts w:hint="eastAsia" w:eastAsia="仿宋_GB2312" w:cs="仿宋_GB2312"/>
          <w:spacing w:val="-6"/>
          <w:sz w:val="32"/>
          <w:szCs w:val="32"/>
        </w:rPr>
        <w:t>年底，累计创建农村生活垃圾分类示范村</w:t>
      </w:r>
      <w:r>
        <w:rPr>
          <w:rFonts w:eastAsia="仿宋_GB2312"/>
          <w:spacing w:val="-6"/>
          <w:sz w:val="32"/>
          <w:szCs w:val="32"/>
        </w:rPr>
        <w:t>100</w:t>
      </w:r>
      <w:r>
        <w:rPr>
          <w:rFonts w:hint="eastAsia" w:eastAsia="仿宋_GB2312" w:cs="仿宋_GB2312"/>
          <w:spacing w:val="-6"/>
          <w:sz w:val="32"/>
          <w:szCs w:val="32"/>
        </w:rPr>
        <w:t>个以上，基本建立农村生活垃圾分类长效运行、监督管理体系，形成具有义乌特色的农村生活垃圾分类处理模式。</w:t>
      </w:r>
    </w:p>
    <w:p>
      <w:pPr>
        <w:spacing w:line="590" w:lineRule="exact"/>
        <w:ind w:firstLine="616" w:firstLineChars="200"/>
        <w:rPr>
          <w:rFonts w:eastAsia="黑体"/>
          <w:spacing w:val="-6"/>
          <w:kern w:val="0"/>
          <w:sz w:val="32"/>
          <w:szCs w:val="32"/>
        </w:rPr>
      </w:pPr>
      <w:r>
        <w:rPr>
          <w:rFonts w:hint="eastAsia" w:eastAsia="黑体" w:cs="黑体"/>
          <w:spacing w:val="-6"/>
          <w:kern w:val="0"/>
          <w:sz w:val="32"/>
          <w:szCs w:val="32"/>
        </w:rPr>
        <w:t>二、工作要求</w:t>
      </w:r>
    </w:p>
    <w:p>
      <w:pPr>
        <w:spacing w:line="590" w:lineRule="exact"/>
        <w:ind w:firstLine="616" w:firstLineChars="200"/>
        <w:rPr>
          <w:rFonts w:eastAsia="楷体_GB2312"/>
          <w:spacing w:val="-6"/>
          <w:sz w:val="32"/>
          <w:szCs w:val="32"/>
        </w:rPr>
      </w:pPr>
      <w:r>
        <w:rPr>
          <w:rFonts w:hint="eastAsia" w:eastAsia="楷体_GB2312" w:cs="楷体_GB2312"/>
          <w:spacing w:val="-6"/>
          <w:sz w:val="32"/>
          <w:szCs w:val="32"/>
        </w:rPr>
        <w:t>（一）农户垃圾分类收集</w:t>
      </w:r>
    </w:p>
    <w:p>
      <w:pPr>
        <w:spacing w:line="590" w:lineRule="exact"/>
        <w:ind w:firstLine="616" w:firstLineChars="200"/>
        <w:rPr>
          <w:rFonts w:eastAsia="仿宋_GB2312"/>
          <w:color w:val="000000"/>
          <w:spacing w:val="-6"/>
          <w:sz w:val="32"/>
          <w:szCs w:val="32"/>
        </w:rPr>
      </w:pPr>
      <w:r>
        <w:rPr>
          <w:rFonts w:eastAsia="仿宋_GB2312"/>
          <w:color w:val="000000"/>
          <w:spacing w:val="-6"/>
          <w:sz w:val="32"/>
          <w:szCs w:val="32"/>
        </w:rPr>
        <w:t>1</w:t>
      </w:r>
      <w:r>
        <w:rPr>
          <w:rFonts w:ascii="仿宋_GB2312" w:eastAsia="仿宋_GB2312" w:cs="仿宋_GB2312"/>
          <w:color w:val="000000"/>
          <w:spacing w:val="-6"/>
          <w:sz w:val="32"/>
          <w:szCs w:val="32"/>
        </w:rPr>
        <w:t>.</w:t>
      </w:r>
      <w:r>
        <w:rPr>
          <w:rFonts w:hint="eastAsia" w:ascii="仿宋_GB2312" w:eastAsia="仿宋_GB2312" w:cs="仿宋_GB2312"/>
          <w:color w:val="000000"/>
          <w:spacing w:val="-6"/>
          <w:sz w:val="32"/>
          <w:szCs w:val="32"/>
        </w:rPr>
        <w:t>强化农户源头分类。全面提升农村垃圾分类</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二次四分</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。先分</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可腐烂</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和</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不可腐烂</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不可腐烂</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的再分为</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可卖</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和</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不可卖</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可腐烂</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的按照资源化利用要求就地消纳。不断提高农村垃圾分类质量，健全回收体系，逐步实现城乡融合。</w:t>
      </w:r>
    </w:p>
    <w:p>
      <w:pPr>
        <w:spacing w:line="590" w:lineRule="exact"/>
        <w:ind w:firstLine="616" w:firstLineChars="200"/>
        <w:rPr>
          <w:rFonts w:hint="eastAsia" w:ascii="仿宋_GB2312" w:eastAsia="仿宋_GB2312"/>
          <w:color w:val="000000"/>
          <w:spacing w:val="-6"/>
          <w:sz w:val="32"/>
          <w:szCs w:val="32"/>
        </w:rPr>
      </w:pPr>
      <w:r>
        <w:rPr>
          <w:rFonts w:eastAsia="仿宋_GB2312"/>
          <w:color w:val="000000"/>
          <w:spacing w:val="-6"/>
          <w:sz w:val="32"/>
          <w:szCs w:val="32"/>
        </w:rPr>
        <w:t>2</w:t>
      </w:r>
      <w:r>
        <w:rPr>
          <w:rFonts w:ascii="仿宋_GB2312" w:eastAsia="仿宋_GB2312" w:cs="仿宋_GB2312"/>
          <w:color w:val="000000"/>
          <w:spacing w:val="-6"/>
          <w:sz w:val="32"/>
          <w:szCs w:val="32"/>
        </w:rPr>
        <w:t>.</w:t>
      </w:r>
      <w:r>
        <w:rPr>
          <w:rFonts w:hint="eastAsia" w:ascii="仿宋_GB2312" w:eastAsia="仿宋_GB2312" w:cs="仿宋_GB2312"/>
          <w:color w:val="000000"/>
          <w:spacing w:val="-6"/>
          <w:sz w:val="32"/>
          <w:szCs w:val="32"/>
        </w:rPr>
        <w:t>规范垃圾桶设置。村级配套垃圾桶实行统一采购，每户配备绿色、灰色垃圾桶各一只，其中绿桶标注</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可腐烂垃圾</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、灰桶标注</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不可腐烂垃圾</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，整齐美观摆放，做好固定并配备分拣夹。定期组织村民在专门的清洗场所清洗垃圾桶内外，保证垃圾桶外观基本整洁，桶内无粘结污物。</w:t>
      </w:r>
    </w:p>
    <w:p>
      <w:pPr>
        <w:spacing w:line="590" w:lineRule="exact"/>
        <w:ind w:firstLine="616" w:firstLineChars="200"/>
        <w:rPr>
          <w:rFonts w:hint="eastAsia" w:ascii="仿宋_GB2312" w:eastAsia="仿宋_GB2312"/>
          <w:spacing w:val="-6"/>
          <w:kern w:val="0"/>
          <w:sz w:val="32"/>
          <w:szCs w:val="32"/>
        </w:rPr>
      </w:pPr>
      <w:r>
        <w:rPr>
          <w:rFonts w:eastAsia="仿宋_GB2312"/>
          <w:color w:val="000000"/>
          <w:spacing w:val="-6"/>
          <w:sz w:val="32"/>
          <w:szCs w:val="32"/>
        </w:rPr>
        <w:t>3</w:t>
      </w:r>
      <w:r>
        <w:rPr>
          <w:rFonts w:ascii="仿宋_GB2312" w:eastAsia="仿宋_GB2312" w:cs="仿宋_GB2312"/>
          <w:color w:val="000000"/>
          <w:spacing w:val="-6"/>
          <w:sz w:val="32"/>
          <w:szCs w:val="32"/>
        </w:rPr>
        <w:t>.</w:t>
      </w:r>
      <w:r>
        <w:rPr>
          <w:rFonts w:hint="eastAsia" w:ascii="仿宋_GB2312" w:eastAsia="仿宋_GB2312" w:cs="仿宋_GB2312"/>
          <w:color w:val="000000"/>
          <w:spacing w:val="-6"/>
          <w:sz w:val="32"/>
          <w:szCs w:val="32"/>
        </w:rPr>
        <w:t>探索智能分类模式。</w:t>
      </w:r>
      <w:r>
        <w:rPr>
          <w:rFonts w:hint="eastAsia" w:ascii="仿宋_GB2312" w:eastAsia="仿宋_GB2312" w:cs="仿宋_GB2312"/>
          <w:spacing w:val="-6"/>
          <w:kern w:val="0"/>
          <w:sz w:val="32"/>
          <w:szCs w:val="32"/>
        </w:rPr>
        <w:t>积极探索市场化运行机制，创新运行管理模式，</w:t>
      </w:r>
      <w:r>
        <w:rPr>
          <w:rFonts w:hint="eastAsia" w:ascii="仿宋_GB2312" w:eastAsia="仿宋_GB2312" w:cs="仿宋_GB2312"/>
          <w:color w:val="000000"/>
          <w:spacing w:val="-6"/>
          <w:kern w:val="0"/>
          <w:sz w:val="32"/>
          <w:szCs w:val="32"/>
        </w:rPr>
        <w:t>运用</w:t>
      </w:r>
      <w:r>
        <w:rPr>
          <w:rFonts w:hint="eastAsia" w:ascii="仿宋_GB2312" w:eastAsia="仿宋_GB2312"/>
          <w:color w:val="000000"/>
          <w:spacing w:val="-6"/>
          <w:kern w:val="0"/>
          <w:sz w:val="32"/>
          <w:szCs w:val="32"/>
        </w:rPr>
        <w:t>“</w:t>
      </w:r>
      <w:r>
        <w:rPr>
          <w:rFonts w:hint="eastAsia" w:ascii="仿宋_GB2312" w:eastAsia="仿宋_GB2312" w:cs="仿宋_GB2312"/>
          <w:color w:val="000000"/>
          <w:spacing w:val="-6"/>
          <w:kern w:val="0"/>
          <w:sz w:val="32"/>
          <w:szCs w:val="32"/>
        </w:rPr>
        <w:t>互联网</w:t>
      </w:r>
      <w:r>
        <w:rPr>
          <w:rFonts w:hint="eastAsia" w:ascii="仿宋_GB2312" w:eastAsia="仿宋_GB2312"/>
          <w:color w:val="000000"/>
          <w:spacing w:val="-6"/>
          <w:kern w:val="0"/>
          <w:sz w:val="32"/>
          <w:szCs w:val="32"/>
        </w:rPr>
        <w:t>+”“</w:t>
      </w:r>
      <w:r>
        <w:rPr>
          <w:rFonts w:hint="eastAsia" w:ascii="仿宋_GB2312" w:eastAsia="仿宋_GB2312" w:cs="仿宋_GB2312"/>
          <w:color w:val="000000"/>
          <w:spacing w:val="-6"/>
          <w:kern w:val="0"/>
          <w:sz w:val="32"/>
          <w:szCs w:val="32"/>
        </w:rPr>
        <w:t>大数据</w:t>
      </w:r>
      <w:r>
        <w:rPr>
          <w:rFonts w:hint="eastAsia" w:ascii="仿宋_GB2312" w:eastAsia="仿宋_GB2312"/>
          <w:color w:val="000000"/>
          <w:spacing w:val="-6"/>
          <w:kern w:val="0"/>
          <w:sz w:val="32"/>
          <w:szCs w:val="32"/>
        </w:rPr>
        <w:t>”</w:t>
      </w:r>
      <w:r>
        <w:rPr>
          <w:rFonts w:hint="eastAsia" w:ascii="仿宋_GB2312" w:eastAsia="仿宋_GB2312" w:cs="仿宋_GB2312"/>
          <w:color w:val="000000"/>
          <w:spacing w:val="-6"/>
          <w:kern w:val="0"/>
          <w:sz w:val="32"/>
          <w:szCs w:val="32"/>
        </w:rPr>
        <w:t>等信息化技术，探索垃圾智能分类模式，积极开展智能投放、定点定时投放等试点。鼓励采用分类实名制、编码识别智能回收平台等方式，建立源头追溯</w:t>
      </w:r>
      <w:r>
        <w:rPr>
          <w:rFonts w:hint="eastAsia" w:ascii="仿宋_GB2312" w:eastAsia="仿宋_GB2312" w:cs="仿宋_GB2312"/>
          <w:spacing w:val="-6"/>
          <w:kern w:val="0"/>
          <w:sz w:val="32"/>
          <w:szCs w:val="32"/>
        </w:rPr>
        <w:t>制度，督促农户做好垃圾分类，提高农村生活垃圾分类的智能化水平。大力推广</w:t>
      </w:r>
      <w:r>
        <w:rPr>
          <w:rFonts w:hint="eastAsia" w:ascii="仿宋_GB2312" w:eastAsia="仿宋_GB2312"/>
          <w:spacing w:val="-6"/>
          <w:kern w:val="0"/>
          <w:sz w:val="32"/>
          <w:szCs w:val="32"/>
        </w:rPr>
        <w:t>“</w:t>
      </w:r>
      <w:r>
        <w:rPr>
          <w:rFonts w:hint="eastAsia" w:ascii="仿宋_GB2312" w:eastAsia="仿宋_GB2312" w:cs="仿宋_GB2312"/>
          <w:spacing w:val="-6"/>
          <w:kern w:val="0"/>
          <w:sz w:val="32"/>
          <w:szCs w:val="32"/>
        </w:rPr>
        <w:t>积分兑换制</w:t>
      </w:r>
      <w:r>
        <w:rPr>
          <w:rFonts w:hint="eastAsia" w:ascii="仿宋_GB2312" w:eastAsia="仿宋_GB2312"/>
          <w:spacing w:val="-6"/>
          <w:kern w:val="0"/>
          <w:sz w:val="32"/>
          <w:szCs w:val="32"/>
        </w:rPr>
        <w:t>”</w:t>
      </w:r>
      <w:r>
        <w:rPr>
          <w:rFonts w:hint="eastAsia" w:ascii="仿宋_GB2312" w:eastAsia="仿宋_GB2312" w:cs="仿宋_GB2312"/>
          <w:spacing w:val="-6"/>
          <w:kern w:val="0"/>
          <w:sz w:val="32"/>
          <w:szCs w:val="32"/>
        </w:rPr>
        <w:t>、</w:t>
      </w:r>
      <w:r>
        <w:rPr>
          <w:rFonts w:hint="eastAsia" w:ascii="仿宋_GB2312" w:eastAsia="仿宋_GB2312"/>
          <w:spacing w:val="-6"/>
          <w:kern w:val="0"/>
          <w:sz w:val="32"/>
          <w:szCs w:val="32"/>
        </w:rPr>
        <w:t>“</w:t>
      </w:r>
      <w:r>
        <w:rPr>
          <w:rFonts w:hint="eastAsia" w:ascii="仿宋_GB2312" w:eastAsia="仿宋_GB2312" w:cs="仿宋_GB2312"/>
          <w:spacing w:val="-6"/>
          <w:kern w:val="0"/>
          <w:sz w:val="32"/>
          <w:szCs w:val="32"/>
        </w:rPr>
        <w:t>星级用户评比制</w:t>
      </w:r>
      <w:r>
        <w:rPr>
          <w:rFonts w:hint="eastAsia" w:ascii="仿宋_GB2312" w:eastAsia="仿宋_GB2312"/>
          <w:spacing w:val="-6"/>
          <w:kern w:val="0"/>
          <w:sz w:val="32"/>
          <w:szCs w:val="32"/>
        </w:rPr>
        <w:t>”</w:t>
      </w:r>
      <w:r>
        <w:rPr>
          <w:rFonts w:hint="eastAsia" w:ascii="仿宋_GB2312" w:eastAsia="仿宋_GB2312" w:cs="仿宋_GB2312"/>
          <w:spacing w:val="-6"/>
          <w:kern w:val="0"/>
          <w:sz w:val="32"/>
          <w:szCs w:val="32"/>
        </w:rPr>
        <w:t>等模式，提高分类投放准确率。</w:t>
      </w:r>
    </w:p>
    <w:p>
      <w:pPr>
        <w:spacing w:line="590" w:lineRule="exact"/>
        <w:ind w:firstLine="616" w:firstLineChars="200"/>
        <w:rPr>
          <w:rFonts w:hint="eastAsia" w:ascii="仿宋_GB2312" w:eastAsia="仿宋_GB2312"/>
          <w:color w:val="000000"/>
          <w:spacing w:val="-6"/>
          <w:kern w:val="0"/>
          <w:sz w:val="32"/>
          <w:szCs w:val="32"/>
        </w:rPr>
      </w:pPr>
      <w:r>
        <w:rPr>
          <w:rFonts w:hint="eastAsia" w:eastAsia="仿宋_GB2312"/>
          <w:color w:val="000000"/>
          <w:spacing w:val="-6"/>
          <w:sz w:val="32"/>
          <w:szCs w:val="32"/>
          <w:lang w:val="en-US" w:eastAsia="zh-CN"/>
        </w:rPr>
        <w:t>4</w:t>
      </w:r>
      <w:r>
        <w:rPr>
          <w:rFonts w:hint="eastAsia" w:ascii="仿宋_GB2312" w:eastAsia="仿宋_GB2312" w:cs="仿宋_GB2312"/>
          <w:color w:val="000000"/>
          <w:spacing w:val="-6"/>
          <w:sz w:val="32"/>
          <w:szCs w:val="32"/>
        </w:rPr>
        <w:t>.落实干部党员联片包户制。</w:t>
      </w:r>
      <w:r>
        <w:rPr>
          <w:rFonts w:hint="eastAsia" w:ascii="仿宋_GB2312" w:eastAsia="仿宋_GB2312" w:cs="仿宋_GB2312"/>
          <w:color w:val="000000"/>
          <w:spacing w:val="-6"/>
          <w:kern w:val="0"/>
          <w:sz w:val="32"/>
          <w:szCs w:val="32"/>
        </w:rPr>
        <w:t>落实网格长（员）、村干部垃圾分类管理区域负责制。充分发挥党员的示范引领作用，按照就近、方便、区域化管理的原则，带领农户主动做好垃圾分类工作。在明显位置挂牌公示，牌上注明网格化结构、党员干部姓名、联系电话、主要职责。相关工作开展情况纳入干部年度责任制考核和党员</w:t>
      </w:r>
      <w:r>
        <w:rPr>
          <w:rFonts w:hint="eastAsia" w:ascii="仿宋_GB2312" w:eastAsia="仿宋_GB2312"/>
          <w:color w:val="000000"/>
          <w:spacing w:val="-6"/>
          <w:kern w:val="0"/>
          <w:sz w:val="32"/>
          <w:szCs w:val="32"/>
        </w:rPr>
        <w:t>“</w:t>
      </w:r>
      <w:r>
        <w:rPr>
          <w:rFonts w:hint="eastAsia" w:ascii="仿宋_GB2312" w:eastAsia="仿宋_GB2312" w:cs="仿宋_GB2312"/>
          <w:color w:val="000000"/>
          <w:spacing w:val="-6"/>
          <w:kern w:val="0"/>
          <w:sz w:val="32"/>
          <w:szCs w:val="32"/>
        </w:rPr>
        <w:t>十二分制管理</w:t>
      </w:r>
      <w:r>
        <w:rPr>
          <w:rFonts w:hint="eastAsia" w:ascii="仿宋_GB2312" w:eastAsia="仿宋_GB2312"/>
          <w:color w:val="000000"/>
          <w:spacing w:val="-6"/>
          <w:kern w:val="0"/>
          <w:sz w:val="32"/>
          <w:szCs w:val="32"/>
        </w:rPr>
        <w:t>”</w:t>
      </w:r>
      <w:r>
        <w:rPr>
          <w:rFonts w:hint="eastAsia" w:ascii="仿宋_GB2312" w:eastAsia="仿宋_GB2312" w:cs="仿宋_GB2312"/>
          <w:color w:val="000000"/>
          <w:spacing w:val="-6"/>
          <w:kern w:val="0"/>
          <w:sz w:val="32"/>
          <w:szCs w:val="32"/>
        </w:rPr>
        <w:t>。</w:t>
      </w:r>
    </w:p>
    <w:p>
      <w:pPr>
        <w:spacing w:line="590" w:lineRule="exact"/>
        <w:ind w:firstLine="616" w:firstLineChars="200"/>
        <w:rPr>
          <w:rFonts w:eastAsia="楷体_GB2312"/>
          <w:spacing w:val="-6"/>
          <w:sz w:val="32"/>
          <w:szCs w:val="32"/>
        </w:rPr>
      </w:pPr>
      <w:r>
        <w:rPr>
          <w:rFonts w:hint="eastAsia" w:eastAsia="楷体_GB2312" w:cs="楷体_GB2312"/>
          <w:spacing w:val="-6"/>
          <w:sz w:val="32"/>
          <w:szCs w:val="32"/>
        </w:rPr>
        <w:t>（二）分类收集运输</w:t>
      </w:r>
    </w:p>
    <w:p>
      <w:pPr>
        <w:spacing w:line="590" w:lineRule="exact"/>
        <w:ind w:firstLine="616" w:firstLineChars="200"/>
        <w:rPr>
          <w:rFonts w:eastAsia="仿宋_GB2312"/>
          <w:spacing w:val="-6"/>
          <w:sz w:val="32"/>
          <w:szCs w:val="32"/>
        </w:rPr>
      </w:pPr>
      <w:r>
        <w:rPr>
          <w:rFonts w:eastAsia="仿宋_GB2312"/>
          <w:spacing w:val="-6"/>
          <w:sz w:val="32"/>
          <w:szCs w:val="32"/>
        </w:rPr>
        <w:t>1</w:t>
      </w:r>
      <w:r>
        <w:rPr>
          <w:rFonts w:ascii="仿宋_GB2312" w:eastAsia="仿宋_GB2312" w:cs="仿宋_GB2312"/>
          <w:spacing w:val="-6"/>
          <w:sz w:val="32"/>
          <w:szCs w:val="32"/>
        </w:rPr>
        <w:t>.</w:t>
      </w:r>
      <w:r>
        <w:rPr>
          <w:rFonts w:hint="eastAsia" w:ascii="仿宋_GB2312" w:eastAsia="仿宋_GB2312" w:cs="仿宋_GB2312"/>
          <w:spacing w:val="-6"/>
          <w:sz w:val="32"/>
          <w:szCs w:val="32"/>
        </w:rPr>
        <w:t>严格保洁员（分拣员）二次分拣。</w:t>
      </w:r>
      <w:r>
        <w:rPr>
          <w:rFonts w:hint="eastAsia" w:eastAsia="仿宋_GB2312" w:cs="仿宋_GB2312"/>
          <w:spacing w:val="-6"/>
          <w:sz w:val="32"/>
          <w:szCs w:val="32"/>
        </w:rPr>
        <w:t>按照常住人口每</w:t>
      </w:r>
      <w:r>
        <w:rPr>
          <w:rFonts w:eastAsia="仿宋_GB2312"/>
          <w:spacing w:val="-6"/>
          <w:sz w:val="32"/>
          <w:szCs w:val="32"/>
        </w:rPr>
        <w:t>300</w:t>
      </w:r>
      <w:r>
        <w:rPr>
          <w:rFonts w:hint="eastAsia" w:eastAsia="仿宋_GB2312" w:cs="仿宋_GB2312"/>
          <w:spacing w:val="-6"/>
          <w:sz w:val="32"/>
          <w:szCs w:val="32"/>
        </w:rPr>
        <w:t>人配备</w:t>
      </w:r>
      <w:r>
        <w:rPr>
          <w:rFonts w:eastAsia="仿宋_GB2312"/>
          <w:spacing w:val="-6"/>
          <w:sz w:val="32"/>
          <w:szCs w:val="32"/>
        </w:rPr>
        <w:t>1</w:t>
      </w:r>
      <w:r>
        <w:rPr>
          <w:rFonts w:hint="eastAsia" w:eastAsia="仿宋_GB2312" w:cs="仿宋_GB2312"/>
          <w:spacing w:val="-6"/>
          <w:sz w:val="32"/>
          <w:szCs w:val="32"/>
        </w:rPr>
        <w:t>名保洁员（分拣员）的标准，配齐人员、</w:t>
      </w:r>
      <w:r>
        <w:rPr>
          <w:rFonts w:hint="eastAsia" w:eastAsia="仿宋_GB2312" w:cs="仿宋_GB2312"/>
          <w:color w:val="000000"/>
          <w:spacing w:val="-6"/>
          <w:sz w:val="32"/>
          <w:szCs w:val="32"/>
        </w:rPr>
        <w:t>分类收集车辆。</w:t>
      </w:r>
      <w:r>
        <w:rPr>
          <w:rFonts w:hint="eastAsia" w:eastAsia="仿宋_GB2312" w:cs="仿宋_GB2312"/>
          <w:spacing w:val="-6"/>
          <w:sz w:val="32"/>
          <w:szCs w:val="32"/>
        </w:rPr>
        <w:t>保洁员（分拣员）应每天到每户农户门口分类收集垃圾两次</w:t>
      </w:r>
      <w:r>
        <w:rPr>
          <w:rFonts w:hint="eastAsia" w:ascii="仿宋_GB2312" w:eastAsia="仿宋_GB2312" w:cs="仿宋_GB2312"/>
          <w:spacing w:val="-6"/>
          <w:sz w:val="32"/>
          <w:szCs w:val="32"/>
        </w:rPr>
        <w:t>。</w:t>
      </w:r>
      <w:r>
        <w:rPr>
          <w:rFonts w:hint="eastAsia" w:ascii="仿宋_GB2312" w:eastAsia="仿宋_GB2312"/>
          <w:spacing w:val="-6"/>
          <w:sz w:val="32"/>
          <w:szCs w:val="32"/>
        </w:rPr>
        <w:t>“</w:t>
      </w:r>
      <w:r>
        <w:rPr>
          <w:rFonts w:hint="eastAsia" w:ascii="仿宋_GB2312" w:eastAsia="仿宋_GB2312" w:cs="仿宋_GB2312"/>
          <w:spacing w:val="-6"/>
          <w:sz w:val="32"/>
          <w:szCs w:val="32"/>
        </w:rPr>
        <w:t>可腐烂垃圾</w:t>
      </w:r>
      <w:r>
        <w:rPr>
          <w:rFonts w:hint="eastAsia" w:ascii="仿宋_GB2312" w:eastAsia="仿宋_GB2312"/>
          <w:spacing w:val="-6"/>
          <w:sz w:val="32"/>
          <w:szCs w:val="32"/>
        </w:rPr>
        <w:t>”</w:t>
      </w:r>
      <w:r>
        <w:rPr>
          <w:rFonts w:hint="eastAsia" w:ascii="仿宋_GB2312" w:eastAsia="仿宋_GB2312" w:cs="仿宋_GB2312"/>
          <w:spacing w:val="-6"/>
          <w:sz w:val="32"/>
          <w:szCs w:val="32"/>
        </w:rPr>
        <w:t>送到处理终端（阳光堆肥房或机器处理站）或村内可腐烂垃圾中转点；不可腐烂垃圾进行二次分类，细分为可回收物、有害垃圾和其他垃圾，分别投放至规定的收集容器或集中存放点。可回收物交由再生资源回收经营者或资源综合利用企业处理；有害垃圾交由符合国家或省规定条件的处理经营者进行无害化处理；其它垃圾仍然按照村收集、镇运输、市处理的办法执行。禁止垃圾混收混装情况发生。</w:t>
      </w:r>
    </w:p>
    <w:p>
      <w:pPr>
        <w:spacing w:line="590" w:lineRule="exact"/>
        <w:ind w:firstLine="616" w:firstLineChars="200"/>
        <w:rPr>
          <w:rFonts w:ascii="仿宋_GB2312" w:eastAsia="仿宋_GB2312" w:cs="仿宋_GB2312"/>
          <w:spacing w:val="-6"/>
          <w:sz w:val="32"/>
          <w:szCs w:val="32"/>
        </w:rPr>
      </w:pPr>
      <w:r>
        <w:rPr>
          <w:rFonts w:eastAsia="仿宋_GB2312"/>
          <w:spacing w:val="-6"/>
          <w:sz w:val="32"/>
          <w:szCs w:val="32"/>
        </w:rPr>
        <w:t>2</w:t>
      </w:r>
      <w:r>
        <w:rPr>
          <w:rFonts w:ascii="仿宋_GB2312" w:eastAsia="仿宋_GB2312" w:cs="仿宋_GB2312"/>
          <w:spacing w:val="-6"/>
          <w:sz w:val="32"/>
          <w:szCs w:val="32"/>
        </w:rPr>
        <w:t>.</w:t>
      </w:r>
      <w:r>
        <w:rPr>
          <w:rFonts w:hint="eastAsia" w:ascii="仿宋_GB2312" w:eastAsia="仿宋_GB2312" w:cs="仿宋_GB2312"/>
          <w:spacing w:val="-6"/>
          <w:sz w:val="32"/>
          <w:szCs w:val="32"/>
        </w:rPr>
        <w:t>建立专职监督员队伍。各行政村按照人口规模和村庄分布实际，设置专职监督员。负责监督指导农户源头分类、保洁员（分拣员）工作和终端处理设施运行，要求每日一巡查，并做好记录，发现问题及时提醒整改，并向村两委和联系党员反映不能及时整改的问题。</w:t>
      </w:r>
    </w:p>
    <w:p>
      <w:pPr>
        <w:tabs>
          <w:tab w:val="left" w:pos="4785"/>
        </w:tabs>
        <w:spacing w:line="590" w:lineRule="exact"/>
        <w:ind w:firstLine="616" w:firstLineChars="200"/>
        <w:rPr>
          <w:rFonts w:ascii="仿宋_GB2312" w:eastAsia="仿宋_GB2312" w:cs="仿宋_GB2312"/>
          <w:spacing w:val="-6"/>
          <w:sz w:val="32"/>
          <w:szCs w:val="32"/>
        </w:rPr>
      </w:pPr>
      <w:r>
        <w:rPr>
          <w:rFonts w:eastAsia="仿宋_GB2312"/>
          <w:spacing w:val="-6"/>
          <w:sz w:val="32"/>
          <w:szCs w:val="32"/>
        </w:rPr>
        <w:t>3</w:t>
      </w:r>
      <w:r>
        <w:rPr>
          <w:rFonts w:ascii="仿宋_GB2312" w:eastAsia="仿宋_GB2312" w:cs="仿宋_GB2312"/>
          <w:spacing w:val="-6"/>
          <w:sz w:val="32"/>
          <w:szCs w:val="32"/>
        </w:rPr>
        <w:t>.</w:t>
      </w:r>
      <w:r>
        <w:rPr>
          <w:rFonts w:hint="eastAsia" w:ascii="仿宋_GB2312" w:eastAsia="仿宋_GB2312" w:cs="仿宋_GB2312"/>
          <w:spacing w:val="-6"/>
          <w:sz w:val="32"/>
          <w:szCs w:val="32"/>
        </w:rPr>
        <w:t>提升垃圾分类收集运输能力。设计优化垃圾运输路线，健全生活垃圾分类相衔接的收运网络，避免垃圾分类投放后重新混装运输。现有垃圾转运站、垃圾房应符合农村生活垃圾分类要求，全面改造或停用农村露天垃圾池等敞开式收集场所和设施。提高农村生活垃圾专运设施及环卫机具水平，全面普及密闭分类运输车辆。</w:t>
      </w:r>
    </w:p>
    <w:p>
      <w:pPr>
        <w:spacing w:line="590" w:lineRule="exact"/>
        <w:ind w:firstLine="616" w:firstLineChars="200"/>
        <w:rPr>
          <w:rFonts w:eastAsia="楷体_GB2312"/>
          <w:spacing w:val="-6"/>
          <w:sz w:val="32"/>
          <w:szCs w:val="32"/>
        </w:rPr>
      </w:pPr>
      <w:r>
        <w:rPr>
          <w:rFonts w:hint="eastAsia" w:eastAsia="楷体_GB2312" w:cs="楷体_GB2312"/>
          <w:spacing w:val="-6"/>
          <w:sz w:val="32"/>
          <w:szCs w:val="32"/>
        </w:rPr>
        <w:t>（三）分类处置</w:t>
      </w:r>
    </w:p>
    <w:p>
      <w:pPr>
        <w:widowControl/>
        <w:shd w:val="clear" w:color="auto" w:fill="FFFFFF"/>
        <w:spacing w:line="590" w:lineRule="exact"/>
        <w:ind w:firstLine="616" w:firstLineChars="200"/>
        <w:rPr>
          <w:rFonts w:hint="eastAsia" w:ascii="仿宋_GB2312" w:eastAsia="仿宋_GB2312"/>
          <w:spacing w:val="-6"/>
          <w:sz w:val="32"/>
          <w:szCs w:val="32"/>
        </w:rPr>
      </w:pPr>
      <w:r>
        <w:rPr>
          <w:rFonts w:eastAsia="仿宋_GB2312"/>
          <w:bCs/>
          <w:spacing w:val="-6"/>
          <w:sz w:val="32"/>
          <w:szCs w:val="32"/>
        </w:rPr>
        <w:t>1</w:t>
      </w:r>
      <w:r>
        <w:rPr>
          <w:rFonts w:hint="eastAsia" w:ascii="仿宋_GB2312" w:eastAsia="仿宋_GB2312"/>
          <w:bCs/>
          <w:spacing w:val="-6"/>
          <w:sz w:val="32"/>
          <w:szCs w:val="32"/>
        </w:rPr>
        <w:t>.</w:t>
      </w:r>
      <w:r>
        <w:rPr>
          <w:rFonts w:hint="eastAsia" w:ascii="仿宋_GB2312" w:eastAsia="仿宋_GB2312" w:cs="仿宋_GB2312"/>
          <w:bCs/>
          <w:spacing w:val="-6"/>
          <w:sz w:val="32"/>
          <w:szCs w:val="32"/>
        </w:rPr>
        <w:t>完善终端处理设施建设。</w:t>
      </w:r>
      <w:r>
        <w:rPr>
          <w:rFonts w:hint="eastAsia" w:ascii="仿宋_GB2312" w:eastAsia="仿宋_GB2312" w:cs="仿宋_GB2312"/>
          <w:spacing w:val="-6"/>
          <w:sz w:val="32"/>
          <w:szCs w:val="32"/>
        </w:rPr>
        <w:t>农村易腐（可腐烂）垃圾通过阳光堆肥房和机械生物降解处理。各镇（街道）根据自身情况，合理确定垃圾处置模式及布局。机械生物降解处理站点建设优先利用垃圾中转站等场地。加强对原有阳光堆肥房改造提升，提高使用效率。</w:t>
      </w:r>
    </w:p>
    <w:p>
      <w:pPr>
        <w:tabs>
          <w:tab w:val="left" w:pos="4785"/>
        </w:tabs>
        <w:spacing w:line="590" w:lineRule="exact"/>
        <w:ind w:firstLine="616" w:firstLineChars="200"/>
        <w:rPr>
          <w:rFonts w:eastAsia="仿宋_GB2312"/>
          <w:color w:val="000000"/>
          <w:spacing w:val="-6"/>
          <w:kern w:val="0"/>
          <w:sz w:val="32"/>
          <w:szCs w:val="32"/>
        </w:rPr>
      </w:pPr>
      <w:r>
        <w:rPr>
          <w:rFonts w:hint="eastAsia" w:eastAsia="仿宋_GB2312"/>
          <w:bCs/>
          <w:spacing w:val="-6"/>
          <w:sz w:val="32"/>
          <w:szCs w:val="32"/>
        </w:rPr>
        <w:t>2</w:t>
      </w:r>
      <w:r>
        <w:rPr>
          <w:rFonts w:hint="eastAsia" w:ascii="仿宋_GB2312" w:eastAsia="仿宋_GB2312"/>
          <w:bCs/>
          <w:spacing w:val="-6"/>
          <w:sz w:val="32"/>
          <w:szCs w:val="32"/>
        </w:rPr>
        <w:t>.落实终端处理设施房（站）长责任。</w:t>
      </w:r>
      <w:r>
        <w:rPr>
          <w:rFonts w:hint="eastAsia" w:ascii="仿宋_GB2312" w:eastAsia="仿宋_GB2312" w:cs="仿宋_GB2312"/>
          <w:color w:val="000000"/>
          <w:spacing w:val="-6"/>
          <w:sz w:val="32"/>
          <w:szCs w:val="32"/>
        </w:rPr>
        <w:t>每座阳光堆肥房设一名“房长”，一般由村两委主要干部担任，负责处理终端运行情况的检查和基础设施及周边环境的管护，指导监督保洁员（分拣员）、</w:t>
      </w:r>
      <w:r>
        <w:rPr>
          <w:rFonts w:hint="eastAsia" w:eastAsia="仿宋_GB2312" w:cs="仿宋_GB2312"/>
          <w:color w:val="000000"/>
          <w:spacing w:val="-6"/>
          <w:sz w:val="32"/>
          <w:szCs w:val="32"/>
        </w:rPr>
        <w:t>清运公司等人员的日常管理和可腐垃圾每日收集及有机肥去向的</w:t>
      </w:r>
      <w:r>
        <w:rPr>
          <w:rFonts w:hint="eastAsia" w:eastAsia="仿宋_GB2312" w:cs="仿宋_GB2312"/>
          <w:color w:val="000000"/>
          <w:spacing w:val="-10"/>
          <w:sz w:val="32"/>
          <w:szCs w:val="32"/>
        </w:rPr>
        <w:t>登记。</w:t>
      </w:r>
      <w:r>
        <w:rPr>
          <w:rFonts w:hint="eastAsia" w:eastAsia="仿宋_GB2312" w:cs="仿宋_GB2312"/>
          <w:color w:val="000000"/>
          <w:spacing w:val="-10"/>
          <w:kern w:val="0"/>
          <w:sz w:val="32"/>
          <w:szCs w:val="32"/>
        </w:rPr>
        <w:t>机器处</w:t>
      </w:r>
      <w:r>
        <w:rPr>
          <w:rFonts w:hint="eastAsia" w:ascii="仿宋_GB2312" w:eastAsia="仿宋_GB2312" w:cs="仿宋_GB2312"/>
          <w:color w:val="000000"/>
          <w:spacing w:val="-10"/>
          <w:kern w:val="0"/>
          <w:sz w:val="32"/>
          <w:szCs w:val="32"/>
        </w:rPr>
        <w:t>理站</w:t>
      </w:r>
      <w:r>
        <w:rPr>
          <w:rFonts w:hint="eastAsia" w:ascii="仿宋_GB2312" w:eastAsia="仿宋_GB2312"/>
          <w:color w:val="000000"/>
          <w:spacing w:val="-10"/>
          <w:kern w:val="0"/>
          <w:sz w:val="32"/>
          <w:szCs w:val="32"/>
        </w:rPr>
        <w:t>“</w:t>
      </w:r>
      <w:r>
        <w:rPr>
          <w:rFonts w:hint="eastAsia" w:ascii="仿宋_GB2312" w:eastAsia="仿宋_GB2312" w:cs="仿宋_GB2312"/>
          <w:color w:val="000000"/>
          <w:spacing w:val="-10"/>
          <w:kern w:val="0"/>
          <w:sz w:val="32"/>
          <w:szCs w:val="32"/>
        </w:rPr>
        <w:t>站长制</w:t>
      </w:r>
      <w:r>
        <w:rPr>
          <w:rFonts w:hint="eastAsia" w:ascii="仿宋_GB2312" w:eastAsia="仿宋_GB2312"/>
          <w:color w:val="000000"/>
          <w:spacing w:val="-10"/>
          <w:kern w:val="0"/>
          <w:sz w:val="32"/>
          <w:szCs w:val="32"/>
        </w:rPr>
        <w:t>”</w:t>
      </w:r>
      <w:r>
        <w:rPr>
          <w:rFonts w:hint="eastAsia" w:ascii="仿宋_GB2312" w:eastAsia="仿宋_GB2312" w:cs="仿宋_GB2312"/>
          <w:color w:val="000000"/>
          <w:spacing w:val="-10"/>
          <w:kern w:val="0"/>
          <w:sz w:val="32"/>
          <w:szCs w:val="32"/>
        </w:rPr>
        <w:t>参照实</w:t>
      </w:r>
      <w:r>
        <w:rPr>
          <w:rFonts w:hint="eastAsia" w:eastAsia="仿宋_GB2312" w:cs="仿宋_GB2312"/>
          <w:color w:val="000000"/>
          <w:spacing w:val="-10"/>
          <w:kern w:val="0"/>
          <w:sz w:val="32"/>
          <w:szCs w:val="32"/>
        </w:rPr>
        <w:t>施，由镇（街道）指定专人负责。</w:t>
      </w:r>
    </w:p>
    <w:p>
      <w:pPr>
        <w:spacing w:line="590" w:lineRule="exact"/>
        <w:ind w:firstLine="616" w:firstLineChars="200"/>
        <w:rPr>
          <w:rFonts w:eastAsia="仿宋_GB2312"/>
          <w:spacing w:val="-6"/>
          <w:sz w:val="32"/>
          <w:szCs w:val="32"/>
        </w:rPr>
      </w:pPr>
      <w:r>
        <w:rPr>
          <w:rFonts w:eastAsia="仿宋_GB2312"/>
          <w:bCs/>
          <w:spacing w:val="-6"/>
          <w:sz w:val="32"/>
          <w:szCs w:val="32"/>
        </w:rPr>
        <w:t>3</w:t>
      </w:r>
      <w:r>
        <w:rPr>
          <w:rFonts w:ascii="仿宋_GB2312" w:eastAsia="仿宋_GB2312"/>
          <w:bCs/>
          <w:spacing w:val="-6"/>
          <w:sz w:val="32"/>
          <w:szCs w:val="32"/>
        </w:rPr>
        <w:t>.</w:t>
      </w:r>
      <w:r>
        <w:rPr>
          <w:rFonts w:hint="eastAsia" w:ascii="仿宋_GB2312" w:eastAsia="仿宋_GB2312"/>
          <w:bCs/>
          <w:spacing w:val="-6"/>
          <w:sz w:val="32"/>
          <w:szCs w:val="32"/>
        </w:rPr>
        <w:t>提高垃圾减量处理水平。</w:t>
      </w:r>
      <w:r>
        <w:rPr>
          <w:rFonts w:hint="eastAsia" w:eastAsia="仿宋_GB2312" w:cs="仿宋_GB2312"/>
          <w:spacing w:val="-6"/>
          <w:sz w:val="32"/>
          <w:szCs w:val="32"/>
        </w:rPr>
        <w:t>鼓励引进垃圾分类处理先进技术，选择符合我市农村实际和环保要求、成熟可靠的终端处理工艺。积极引进有资质垃圾回收企业，建立分拣回收中心，提高垃圾分类回收减量水平。鼓励探索农村垃圾分类市场化运作试点。</w:t>
      </w:r>
    </w:p>
    <w:p>
      <w:pPr>
        <w:spacing w:line="590" w:lineRule="exact"/>
        <w:ind w:firstLine="616" w:firstLineChars="200"/>
        <w:rPr>
          <w:rFonts w:eastAsia="仿宋_GB2312"/>
          <w:color w:val="000000"/>
          <w:spacing w:val="-6"/>
          <w:sz w:val="32"/>
          <w:szCs w:val="32"/>
        </w:rPr>
      </w:pPr>
      <w:r>
        <w:rPr>
          <w:rFonts w:eastAsia="仿宋_GB2312"/>
          <w:bCs/>
          <w:spacing w:val="-6"/>
          <w:sz w:val="32"/>
          <w:szCs w:val="32"/>
        </w:rPr>
        <w:t>4</w:t>
      </w:r>
      <w:r>
        <w:rPr>
          <w:rFonts w:ascii="仿宋_GB2312" w:eastAsia="仿宋_GB2312"/>
          <w:bCs/>
          <w:spacing w:val="-6"/>
          <w:sz w:val="32"/>
          <w:szCs w:val="32"/>
        </w:rPr>
        <w:t>.</w:t>
      </w:r>
      <w:r>
        <w:rPr>
          <w:rFonts w:hint="eastAsia" w:ascii="仿宋_GB2312" w:eastAsia="仿宋_GB2312"/>
          <w:bCs/>
          <w:spacing w:val="-6"/>
          <w:sz w:val="32"/>
          <w:szCs w:val="32"/>
        </w:rPr>
        <w:t>建立长效运维管理模式。</w:t>
      </w:r>
      <w:r>
        <w:rPr>
          <w:rFonts w:hint="eastAsia" w:eastAsia="仿宋_GB2312" w:cs="仿宋_GB2312"/>
          <w:color w:val="000000"/>
          <w:spacing w:val="-6"/>
          <w:sz w:val="32"/>
          <w:szCs w:val="32"/>
        </w:rPr>
        <w:t>农村生活垃圾资源化处理站点可根据实际建立第三方专业机构运维或镇村自行管理等多形式、可持续的运维管理模式。实现农村生活垃圾资源化处理站点废气、废水达标排放，垃圾产出物或有机肥的质量符合规定要求。制定农村生活</w:t>
      </w:r>
      <w:r>
        <w:rPr>
          <w:rFonts w:hint="eastAsia" w:eastAsia="仿宋_GB2312" w:cs="仿宋_GB2312"/>
          <w:color w:val="000000"/>
          <w:spacing w:val="-12"/>
          <w:sz w:val="32"/>
          <w:szCs w:val="32"/>
        </w:rPr>
        <w:t>垃圾资源化处理站点运行管理星级评定办法，规范运行处置管理工作。</w:t>
      </w:r>
    </w:p>
    <w:p>
      <w:pPr>
        <w:spacing w:line="590" w:lineRule="exact"/>
        <w:ind w:firstLine="616" w:firstLineChars="200"/>
        <w:rPr>
          <w:rFonts w:eastAsia="黑体"/>
          <w:color w:val="FF0000"/>
          <w:spacing w:val="-6"/>
          <w:sz w:val="32"/>
          <w:szCs w:val="32"/>
        </w:rPr>
      </w:pPr>
      <w:r>
        <w:rPr>
          <w:rFonts w:hint="eastAsia" w:eastAsia="黑体" w:cs="黑体"/>
          <w:spacing w:val="-6"/>
          <w:kern w:val="0"/>
          <w:sz w:val="32"/>
          <w:szCs w:val="32"/>
        </w:rPr>
        <w:t>三、保障措施</w:t>
      </w:r>
    </w:p>
    <w:p>
      <w:pPr>
        <w:tabs>
          <w:tab w:val="left" w:pos="4785"/>
        </w:tabs>
        <w:spacing w:line="590" w:lineRule="exact"/>
        <w:ind w:firstLine="616" w:firstLineChars="200"/>
        <w:rPr>
          <w:rFonts w:eastAsia="仿宋_GB2312"/>
          <w:spacing w:val="-6"/>
          <w:sz w:val="32"/>
          <w:szCs w:val="32"/>
        </w:rPr>
      </w:pPr>
      <w:r>
        <w:rPr>
          <w:rFonts w:hint="eastAsia" w:eastAsia="楷体_GB2312"/>
          <w:spacing w:val="-6"/>
          <w:sz w:val="32"/>
          <w:szCs w:val="32"/>
        </w:rPr>
        <w:t>（一）</w:t>
      </w:r>
      <w:r>
        <w:rPr>
          <w:rFonts w:hint="eastAsia" w:eastAsia="楷体_GB2312" w:cs="楷体_GB2312"/>
          <w:spacing w:val="-6"/>
          <w:sz w:val="32"/>
          <w:szCs w:val="32"/>
        </w:rPr>
        <w:t>加强组织领导。</w:t>
      </w:r>
      <w:r>
        <w:rPr>
          <w:rFonts w:hint="eastAsia" w:eastAsia="仿宋_GB2312" w:cs="仿宋_GB2312"/>
          <w:color w:val="000000"/>
          <w:spacing w:val="-6"/>
          <w:sz w:val="32"/>
          <w:szCs w:val="32"/>
        </w:rPr>
        <w:t>成立义乌市农村生活垃圾分类工作领导小组（附件</w:t>
      </w:r>
      <w:r>
        <w:rPr>
          <w:rFonts w:eastAsia="仿宋_GB2312"/>
          <w:color w:val="000000"/>
          <w:spacing w:val="-6"/>
          <w:sz w:val="32"/>
          <w:szCs w:val="32"/>
        </w:rPr>
        <w:t>2</w:t>
      </w:r>
      <w:r>
        <w:rPr>
          <w:rFonts w:hint="eastAsia" w:eastAsia="仿宋_GB2312" w:cs="仿宋_GB2312"/>
          <w:color w:val="000000"/>
          <w:spacing w:val="-6"/>
          <w:sz w:val="32"/>
          <w:szCs w:val="32"/>
        </w:rPr>
        <w:t>）。各镇（街道）成立相应的领导组织机构，定期专题研究农村生活垃圾分类处理工作，统筹解决实际问题，层层压实工作责任，确保工作有效开展、目标任务落到实处。</w:t>
      </w:r>
    </w:p>
    <w:p>
      <w:pPr>
        <w:spacing w:line="590" w:lineRule="exact"/>
        <w:ind w:firstLine="616" w:firstLineChars="200"/>
        <w:rPr>
          <w:rFonts w:eastAsia="仿宋_GB2312"/>
          <w:spacing w:val="-6"/>
          <w:sz w:val="32"/>
          <w:szCs w:val="32"/>
        </w:rPr>
      </w:pPr>
      <w:r>
        <w:rPr>
          <w:rFonts w:hint="eastAsia" w:eastAsia="楷体_GB2312"/>
          <w:spacing w:val="-6"/>
          <w:sz w:val="32"/>
          <w:szCs w:val="32"/>
        </w:rPr>
        <w:t>（二）</w:t>
      </w:r>
      <w:r>
        <w:rPr>
          <w:rFonts w:hint="eastAsia" w:eastAsia="楷体_GB2312" w:cs="楷体_GB2312"/>
          <w:spacing w:val="-6"/>
          <w:sz w:val="32"/>
          <w:szCs w:val="32"/>
        </w:rPr>
        <w:t>明确工作职责。</w:t>
      </w:r>
      <w:r>
        <w:rPr>
          <w:rFonts w:hint="eastAsia" w:ascii="仿宋_GB2312" w:eastAsia="仿宋_GB2312" w:cs="仿宋_GB2312"/>
          <w:spacing w:val="-6"/>
          <w:sz w:val="32"/>
          <w:szCs w:val="32"/>
        </w:rPr>
        <w:t>农业农村局负责全市农村生活垃圾分类处理的综合协调和督促检查；综合行政执法局负责农村卫生保洁督促检查、生活垃圾末端处置及《金华市农村生活垃圾分类管理条例》的行政处罚工作；自然资源和规划局负责垃圾处理站点建设用地保障；教育部门负责推动</w:t>
      </w:r>
      <w:r>
        <w:rPr>
          <w:rFonts w:hint="eastAsia" w:ascii="仿宋_GB2312" w:eastAsia="仿宋_GB2312"/>
          <w:spacing w:val="-6"/>
          <w:sz w:val="32"/>
          <w:szCs w:val="32"/>
        </w:rPr>
        <w:t>“</w:t>
      </w:r>
      <w:r>
        <w:rPr>
          <w:rFonts w:hint="eastAsia" w:ascii="仿宋_GB2312" w:eastAsia="仿宋_GB2312" w:cs="仿宋_GB2312"/>
          <w:spacing w:val="-6"/>
          <w:sz w:val="32"/>
          <w:szCs w:val="32"/>
        </w:rPr>
        <w:t>垃圾分类进校园</w:t>
      </w:r>
      <w:r>
        <w:rPr>
          <w:rFonts w:hint="eastAsia" w:ascii="仿宋_GB2312" w:eastAsia="仿宋_GB2312"/>
          <w:spacing w:val="-6"/>
          <w:sz w:val="32"/>
          <w:szCs w:val="32"/>
        </w:rPr>
        <w:t>”</w:t>
      </w:r>
      <w:r>
        <w:rPr>
          <w:rFonts w:hint="eastAsia" w:ascii="仿宋_GB2312" w:eastAsia="仿宋_GB2312" w:cs="仿宋_GB2312"/>
          <w:spacing w:val="-6"/>
          <w:sz w:val="32"/>
          <w:szCs w:val="32"/>
        </w:rPr>
        <w:t>等工作，着力培养少年儿童垃圾分类意识；妇联负责开展广大妇女参与垃圾分类实践活动；</w:t>
      </w:r>
      <w:r>
        <w:rPr>
          <w:rFonts w:hint="eastAsia" w:eastAsia="仿宋_GB2312" w:cs="仿宋_GB2312"/>
          <w:spacing w:val="-6"/>
          <w:sz w:val="32"/>
          <w:szCs w:val="32"/>
        </w:rPr>
        <w:t>商务局负责建立再生资源回收利用体系；生态环境分局负责做好有害垃圾处理体系建设；组织、宣传、供销、发改、财政、供电、团委、工会等相关部门和单位要各司其职、各负其责，共同抓好垃圾分类处理工作。</w:t>
      </w:r>
    </w:p>
    <w:p>
      <w:pPr>
        <w:spacing w:line="590" w:lineRule="exact"/>
        <w:ind w:firstLine="616" w:firstLineChars="200"/>
        <w:rPr>
          <w:rFonts w:eastAsia="仿宋_GB2312"/>
          <w:spacing w:val="-6"/>
          <w:sz w:val="32"/>
          <w:szCs w:val="32"/>
        </w:rPr>
      </w:pPr>
      <w:r>
        <w:rPr>
          <w:rFonts w:hint="eastAsia" w:eastAsia="楷体_GB2312"/>
          <w:spacing w:val="-6"/>
          <w:sz w:val="32"/>
          <w:szCs w:val="32"/>
        </w:rPr>
        <w:t>（三）</w:t>
      </w:r>
      <w:r>
        <w:rPr>
          <w:rFonts w:hint="eastAsia" w:eastAsia="楷体_GB2312" w:cs="楷体_GB2312"/>
          <w:spacing w:val="-6"/>
          <w:sz w:val="32"/>
          <w:szCs w:val="32"/>
        </w:rPr>
        <w:t>加大投入力度。</w:t>
      </w:r>
      <w:r>
        <w:rPr>
          <w:rFonts w:hint="eastAsia" w:ascii="仿宋_GB2312" w:eastAsia="仿宋_GB2312" w:cs="仿宋_GB2312"/>
          <w:spacing w:val="-6"/>
          <w:sz w:val="32"/>
          <w:szCs w:val="32"/>
        </w:rPr>
        <w:t>坚持</w:t>
      </w:r>
      <w:r>
        <w:rPr>
          <w:rFonts w:hint="eastAsia" w:ascii="仿宋_GB2312" w:eastAsia="仿宋_GB2312"/>
          <w:spacing w:val="-6"/>
          <w:sz w:val="32"/>
          <w:szCs w:val="32"/>
        </w:rPr>
        <w:t>“</w:t>
      </w:r>
      <w:r>
        <w:rPr>
          <w:rFonts w:hint="eastAsia" w:ascii="仿宋_GB2312" w:eastAsia="仿宋_GB2312" w:cs="仿宋_GB2312"/>
          <w:spacing w:val="-6"/>
          <w:sz w:val="32"/>
          <w:szCs w:val="32"/>
        </w:rPr>
        <w:t>政府引导、村（村民）主体、财政补助与村自筹相结合</w:t>
      </w:r>
      <w:r>
        <w:rPr>
          <w:rFonts w:hint="eastAsia" w:ascii="仿宋_GB2312" w:eastAsia="仿宋_GB2312"/>
          <w:spacing w:val="-6"/>
          <w:sz w:val="32"/>
          <w:szCs w:val="32"/>
        </w:rPr>
        <w:t>”</w:t>
      </w:r>
      <w:r>
        <w:rPr>
          <w:rFonts w:hint="eastAsia" w:ascii="仿宋_GB2312" w:eastAsia="仿宋_GB2312" w:cs="仿宋_GB2312"/>
          <w:spacing w:val="-6"/>
          <w:sz w:val="32"/>
          <w:szCs w:val="32"/>
        </w:rPr>
        <w:t>的资金投入原则，市、镇（街道）财政要统筹安排农村生活垃圾分类处理工作经费，切实保障垃圾分类工作顺利推进。市级</w:t>
      </w:r>
      <w:r>
        <w:rPr>
          <w:rFonts w:hint="eastAsia" w:ascii="仿宋_GB2312" w:eastAsia="仿宋_GB2312"/>
          <w:spacing w:val="-6"/>
          <w:sz w:val="32"/>
          <w:szCs w:val="32"/>
        </w:rPr>
        <w:t>“</w:t>
      </w:r>
      <w:r>
        <w:rPr>
          <w:rFonts w:hint="eastAsia" w:ascii="仿宋_GB2312" w:eastAsia="仿宋_GB2312" w:cs="仿宋_GB2312"/>
          <w:spacing w:val="-6"/>
          <w:sz w:val="32"/>
          <w:szCs w:val="32"/>
        </w:rPr>
        <w:t>财政奖补</w:t>
      </w:r>
      <w:r>
        <w:rPr>
          <w:rFonts w:hint="eastAsia" w:ascii="仿宋_GB2312" w:eastAsia="仿宋_GB2312"/>
          <w:spacing w:val="-6"/>
          <w:sz w:val="32"/>
          <w:szCs w:val="32"/>
        </w:rPr>
        <w:t>”</w:t>
      </w:r>
      <w:r>
        <w:rPr>
          <w:rFonts w:hint="eastAsia" w:ascii="仿宋_GB2312" w:eastAsia="仿宋_GB2312" w:cs="仿宋_GB2312"/>
          <w:spacing w:val="-6"/>
          <w:sz w:val="32"/>
          <w:szCs w:val="32"/>
        </w:rPr>
        <w:t>资金按</w:t>
      </w:r>
      <w:r>
        <w:rPr>
          <w:rFonts w:eastAsia="仿宋_GB2312"/>
          <w:spacing w:val="-6"/>
          <w:sz w:val="32"/>
          <w:szCs w:val="32"/>
        </w:rPr>
        <w:t>36</w:t>
      </w:r>
      <w:r>
        <w:rPr>
          <w:rFonts w:hint="eastAsia" w:eastAsia="仿宋_GB2312" w:cs="仿宋_GB2312"/>
          <w:spacing w:val="-6"/>
          <w:sz w:val="32"/>
          <w:szCs w:val="32"/>
        </w:rPr>
        <w:t>元</w:t>
      </w:r>
      <w:r>
        <w:rPr>
          <w:rFonts w:eastAsia="仿宋_GB2312"/>
          <w:spacing w:val="-6"/>
          <w:sz w:val="32"/>
          <w:szCs w:val="32"/>
        </w:rPr>
        <w:t>/</w:t>
      </w:r>
      <w:r>
        <w:rPr>
          <w:rFonts w:hint="eastAsia" w:eastAsia="仿宋_GB2312" w:cs="仿宋_GB2312"/>
          <w:spacing w:val="-6"/>
          <w:sz w:val="32"/>
          <w:szCs w:val="32"/>
        </w:rPr>
        <w:t>人</w:t>
      </w:r>
      <w:r>
        <w:rPr>
          <w:rFonts w:eastAsia="仿宋_GB2312"/>
          <w:spacing w:val="-6"/>
          <w:sz w:val="32"/>
          <w:szCs w:val="32"/>
        </w:rPr>
        <w:t>/</w:t>
      </w:r>
      <w:r>
        <w:rPr>
          <w:rFonts w:hint="eastAsia" w:eastAsia="仿宋_GB2312" w:cs="仿宋_GB2312"/>
          <w:spacing w:val="-6"/>
          <w:sz w:val="32"/>
          <w:szCs w:val="32"/>
        </w:rPr>
        <w:t>年列入财政预算（人口数按上年度年报人口确定），用于全市农村生活垃圾分类工作的考核奖励，市财政奖补资金由镇（街道）统筹使用。示范村每年给予</w:t>
      </w:r>
      <w:r>
        <w:rPr>
          <w:rFonts w:eastAsia="仿宋_GB2312"/>
          <w:spacing w:val="-6"/>
          <w:sz w:val="32"/>
          <w:szCs w:val="32"/>
        </w:rPr>
        <w:t>20</w:t>
      </w:r>
      <w:r>
        <w:rPr>
          <w:rFonts w:hint="eastAsia" w:eastAsia="仿宋_GB2312" w:cs="仿宋_GB2312"/>
          <w:spacing w:val="-6"/>
          <w:sz w:val="32"/>
          <w:szCs w:val="32"/>
        </w:rPr>
        <w:t>元</w:t>
      </w:r>
      <w:r>
        <w:rPr>
          <w:rFonts w:eastAsia="仿宋_GB2312"/>
          <w:spacing w:val="-6"/>
          <w:sz w:val="32"/>
          <w:szCs w:val="32"/>
        </w:rPr>
        <w:t>/</w:t>
      </w:r>
      <w:r>
        <w:rPr>
          <w:rFonts w:hint="eastAsia" w:eastAsia="仿宋_GB2312" w:cs="仿宋_GB2312"/>
          <w:spacing w:val="-6"/>
          <w:sz w:val="32"/>
          <w:szCs w:val="32"/>
        </w:rPr>
        <w:t>人</w:t>
      </w:r>
      <w:r>
        <w:rPr>
          <w:rFonts w:eastAsia="仿宋_GB2312"/>
          <w:spacing w:val="-6"/>
          <w:sz w:val="32"/>
          <w:szCs w:val="32"/>
        </w:rPr>
        <w:t>/</w:t>
      </w:r>
      <w:r>
        <w:rPr>
          <w:rFonts w:hint="eastAsia" w:eastAsia="仿宋_GB2312" w:cs="仿宋_GB2312"/>
          <w:spacing w:val="-6"/>
          <w:sz w:val="32"/>
          <w:szCs w:val="32"/>
        </w:rPr>
        <w:t>年的奖励，用于农村垃圾分类工作。采取政府购买服务或与社会资本合作等方式，鼓励社会资本参与农村生活垃圾分类处理。健全完善垃</w:t>
      </w:r>
      <w:r>
        <w:rPr>
          <w:rFonts w:hint="eastAsia" w:ascii="仿宋_GB2312" w:eastAsia="仿宋_GB2312" w:cs="仿宋_GB2312"/>
          <w:spacing w:val="-6"/>
          <w:sz w:val="32"/>
          <w:szCs w:val="32"/>
        </w:rPr>
        <w:t>圾处理收费制度，建立有利于推进农村生活垃圾分类处理工作的收费机制。按照</w:t>
      </w:r>
      <w:r>
        <w:rPr>
          <w:rFonts w:hint="eastAsia" w:ascii="仿宋_GB2312" w:eastAsia="仿宋_GB2312"/>
          <w:spacing w:val="-6"/>
          <w:sz w:val="32"/>
          <w:szCs w:val="32"/>
        </w:rPr>
        <w:t>“</w:t>
      </w:r>
      <w:r>
        <w:rPr>
          <w:rFonts w:hint="eastAsia" w:ascii="仿宋_GB2312" w:eastAsia="仿宋_GB2312" w:cs="仿宋_GB2312"/>
          <w:spacing w:val="-6"/>
          <w:sz w:val="32"/>
          <w:szCs w:val="32"/>
        </w:rPr>
        <w:t>谁产生、谁付费，多产生、多付费，分类好、少付费</w:t>
      </w:r>
      <w:r>
        <w:rPr>
          <w:rFonts w:hint="eastAsia" w:ascii="仿宋_GB2312" w:eastAsia="仿宋_GB2312"/>
          <w:spacing w:val="-6"/>
          <w:sz w:val="32"/>
          <w:szCs w:val="32"/>
        </w:rPr>
        <w:t>”</w:t>
      </w:r>
      <w:r>
        <w:rPr>
          <w:rFonts w:hint="eastAsia" w:ascii="仿宋_GB2312" w:eastAsia="仿宋_GB2312" w:cs="仿宋_GB2312"/>
          <w:spacing w:val="-6"/>
          <w:sz w:val="32"/>
          <w:szCs w:val="32"/>
        </w:rPr>
        <w:t>的原则，完善生活垃圾处理收费制度。</w:t>
      </w:r>
    </w:p>
    <w:p>
      <w:pPr>
        <w:spacing w:line="590" w:lineRule="exact"/>
        <w:ind w:firstLine="616" w:firstLineChars="200"/>
        <w:rPr>
          <w:rFonts w:eastAsia="仿宋_GB2312"/>
          <w:spacing w:val="-6"/>
          <w:sz w:val="32"/>
          <w:szCs w:val="32"/>
        </w:rPr>
      </w:pPr>
      <w:r>
        <w:rPr>
          <w:rFonts w:hint="eastAsia" w:eastAsia="楷体_GB2312"/>
          <w:spacing w:val="-6"/>
          <w:sz w:val="32"/>
          <w:szCs w:val="32"/>
        </w:rPr>
        <w:t>（四）</w:t>
      </w:r>
      <w:r>
        <w:rPr>
          <w:rFonts w:hint="eastAsia" w:eastAsia="楷体_GB2312" w:cs="楷体_GB2312"/>
          <w:spacing w:val="-6"/>
          <w:sz w:val="32"/>
          <w:szCs w:val="32"/>
        </w:rPr>
        <w:t>广泛宣传发动。</w:t>
      </w:r>
      <w:r>
        <w:rPr>
          <w:rFonts w:hint="eastAsia" w:eastAsia="仿宋_GB2312" w:cs="仿宋_GB2312"/>
          <w:spacing w:val="-6"/>
          <w:sz w:val="32"/>
          <w:szCs w:val="32"/>
        </w:rPr>
        <w:t>宣传部门和新闻媒体要加强垃圾分类处理宣传工作。行政村要做好农户的宣传发动工作，</w:t>
      </w:r>
      <w:r>
        <w:rPr>
          <w:rFonts w:hint="eastAsia" w:eastAsia="仿宋_GB2312" w:cs="仿宋_GB2312"/>
          <w:spacing w:val="-6"/>
          <w:kern w:val="0"/>
          <w:sz w:val="32"/>
          <w:szCs w:val="32"/>
        </w:rPr>
        <w:t>把垃圾分类工作纳入村规民约的具体条款。</w:t>
      </w:r>
      <w:r>
        <w:rPr>
          <w:rFonts w:hint="eastAsia" w:eastAsia="仿宋_GB2312" w:cs="仿宋_GB2312"/>
          <w:spacing w:val="-6"/>
          <w:sz w:val="32"/>
          <w:szCs w:val="32"/>
        </w:rPr>
        <w:t>通过能人带动、政策推动、宣传发动、邻里互动，激发广大农民做好垃圾分类处理的热情。共青团、妇联等组织要定期开展宣传教育活动，通过上门手把手教、组织培训或比赛等方式宣传，让老百姓了解垃圾分类的知识和方法。</w:t>
      </w:r>
    </w:p>
    <w:p>
      <w:pPr>
        <w:tabs>
          <w:tab w:val="left" w:pos="4785"/>
        </w:tabs>
        <w:spacing w:line="590" w:lineRule="exact"/>
        <w:ind w:firstLine="616" w:firstLineChars="200"/>
        <w:rPr>
          <w:rFonts w:eastAsia="仿宋_GB2312"/>
          <w:spacing w:val="-6"/>
          <w:sz w:val="32"/>
          <w:szCs w:val="32"/>
        </w:rPr>
      </w:pPr>
      <w:r>
        <w:rPr>
          <w:rFonts w:hint="eastAsia" w:eastAsia="楷体_GB2312"/>
          <w:spacing w:val="-6"/>
          <w:sz w:val="32"/>
          <w:szCs w:val="32"/>
        </w:rPr>
        <w:t>（五）</w:t>
      </w:r>
      <w:r>
        <w:rPr>
          <w:rFonts w:hint="eastAsia" w:eastAsia="楷体_GB2312" w:cs="楷体_GB2312"/>
          <w:spacing w:val="-6"/>
          <w:sz w:val="32"/>
          <w:szCs w:val="32"/>
        </w:rPr>
        <w:t>开展监督考核。</w:t>
      </w:r>
      <w:r>
        <w:rPr>
          <w:rFonts w:hint="eastAsia" w:eastAsia="仿宋_GB2312" w:cs="仿宋_GB2312"/>
          <w:spacing w:val="-6"/>
          <w:sz w:val="32"/>
          <w:szCs w:val="32"/>
        </w:rPr>
        <w:t>建立市、镇（街道）、村分级考核制度，定期开展农村生活垃圾分类专项</w:t>
      </w:r>
      <w:r>
        <w:rPr>
          <w:rFonts w:hint="eastAsia" w:eastAsia="仿宋_GB2312" w:cs="仿宋_GB2312"/>
          <w:spacing w:val="-6"/>
          <w:kern w:val="0"/>
          <w:sz w:val="32"/>
          <w:szCs w:val="32"/>
        </w:rPr>
        <w:t>考核</w:t>
      </w:r>
      <w:r>
        <w:rPr>
          <w:rFonts w:hint="eastAsia" w:eastAsia="仿宋_GB2312" w:cs="仿宋_GB2312"/>
          <w:spacing w:val="-6"/>
          <w:sz w:val="32"/>
          <w:szCs w:val="32"/>
        </w:rPr>
        <w:t>。市级开展垃圾分类红黄旗攻坚竞赛，竞赛结果纳入干部责任制绩效考核的内容。充分利用投诉监督电话热线、聚焦曝光栏目、民情民意留言箱等方式，全面畅通农村生活垃圾分类监督渠道。同时，发挥两代表一委员、新闻媒体、社会团体监督作用，督促</w:t>
      </w:r>
      <w:r>
        <w:rPr>
          <w:rFonts w:hint="eastAsia" w:eastAsia="仿宋_GB2312" w:cs="仿宋_GB2312"/>
          <w:color w:val="000000"/>
          <w:spacing w:val="-6"/>
          <w:kern w:val="0"/>
          <w:sz w:val="32"/>
          <w:szCs w:val="32"/>
        </w:rPr>
        <w:t>镇（街道）</w:t>
      </w:r>
      <w:r>
        <w:rPr>
          <w:rFonts w:hint="eastAsia" w:eastAsia="仿宋_GB2312" w:cs="仿宋_GB2312"/>
          <w:spacing w:val="-6"/>
          <w:sz w:val="32"/>
          <w:szCs w:val="32"/>
        </w:rPr>
        <w:t>村及各职能部门履行职责，逐步提高村民参与垃圾分类的自觉性。</w:t>
      </w:r>
    </w:p>
    <w:p>
      <w:pPr>
        <w:spacing w:line="590" w:lineRule="exact"/>
        <w:ind w:firstLine="616" w:firstLineChars="200"/>
        <w:rPr>
          <w:rFonts w:hint="eastAsia" w:ascii="仿宋_GB2312" w:hAnsi="仿宋_GB2312" w:eastAsia="仿宋_GB2312" w:cs="仿宋_GB2312"/>
          <w:color w:val="0000FF"/>
          <w:spacing w:val="-6"/>
          <w:sz w:val="32"/>
          <w:szCs w:val="32"/>
          <w:lang w:val="en-US" w:eastAsia="zh-CN"/>
        </w:rPr>
      </w:pPr>
      <w:r>
        <w:rPr>
          <w:rFonts w:hint="eastAsia" w:ascii="仿宋_GB2312" w:hAnsi="仿宋_GB2312" w:eastAsia="仿宋_GB2312" w:cs="仿宋_GB2312"/>
          <w:color w:val="0000FF"/>
          <w:spacing w:val="-6"/>
          <w:sz w:val="32"/>
          <w:szCs w:val="32"/>
          <w:lang w:val="en-US" w:eastAsia="zh-CN"/>
        </w:rPr>
        <w:t>本文件自公布之日起30日后施行。</w:t>
      </w:r>
    </w:p>
    <w:p>
      <w:pPr>
        <w:spacing w:line="590" w:lineRule="exact"/>
        <w:ind w:firstLine="616" w:firstLineChars="200"/>
        <w:rPr>
          <w:rFonts w:hint="eastAsia" w:ascii="仿宋_GB2312" w:hAnsi="仿宋_GB2312" w:eastAsia="仿宋_GB2312" w:cs="仿宋_GB2312"/>
          <w:spacing w:val="-6"/>
          <w:sz w:val="32"/>
          <w:szCs w:val="32"/>
          <w:lang w:val="en-US" w:eastAsia="zh-CN"/>
        </w:rPr>
      </w:pPr>
    </w:p>
    <w:p>
      <w:pPr>
        <w:spacing w:line="590" w:lineRule="exact"/>
        <w:ind w:firstLine="608" w:firstLineChars="200"/>
        <w:rPr>
          <w:rFonts w:hint="eastAsia" w:ascii="仿宋_GB2312" w:eastAsia="仿宋_GB2312" w:cs="仿宋_GB2312"/>
          <w:spacing w:val="-6"/>
          <w:sz w:val="32"/>
          <w:szCs w:val="32"/>
        </w:rPr>
      </w:pPr>
      <w:r>
        <w:rPr>
          <w:rFonts w:hint="eastAsia" w:eastAsia="仿宋_GB2312" w:cs="仿宋_GB2312"/>
          <w:spacing w:val="-8"/>
          <w:kern w:val="0"/>
          <w:sz w:val="32"/>
          <w:szCs w:val="32"/>
        </w:rPr>
        <w:t>附件：</w:t>
      </w:r>
      <w:r>
        <w:rPr>
          <w:rFonts w:eastAsia="仿宋_GB2312"/>
          <w:spacing w:val="-6"/>
          <w:kern w:val="0"/>
          <w:sz w:val="32"/>
          <w:szCs w:val="32"/>
        </w:rPr>
        <w:t>1.</w:t>
      </w:r>
      <w:r>
        <w:rPr>
          <w:rFonts w:hint="eastAsia" w:eastAsia="仿宋_GB2312" w:cs="仿宋_GB2312"/>
          <w:spacing w:val="-6"/>
          <w:sz w:val="32"/>
          <w:szCs w:val="32"/>
        </w:rPr>
        <w:t>义乌市农村生活垃</w:t>
      </w:r>
      <w:r>
        <w:rPr>
          <w:rFonts w:hint="eastAsia" w:ascii="仿宋_GB2312" w:eastAsia="仿宋_GB2312" w:cs="仿宋_GB2312"/>
          <w:spacing w:val="-6"/>
          <w:sz w:val="32"/>
          <w:szCs w:val="32"/>
        </w:rPr>
        <w:t>圾分类</w:t>
      </w:r>
      <w:r>
        <w:rPr>
          <w:rFonts w:hint="eastAsia" w:ascii="仿宋_GB2312" w:eastAsia="仿宋_GB2312"/>
          <w:spacing w:val="-6"/>
          <w:sz w:val="32"/>
          <w:szCs w:val="32"/>
        </w:rPr>
        <w:t>“</w:t>
      </w:r>
      <w:r>
        <w:rPr>
          <w:rFonts w:hint="eastAsia" w:ascii="仿宋_GB2312" w:eastAsia="仿宋_GB2312" w:cs="仿宋_GB2312"/>
          <w:spacing w:val="-6"/>
          <w:sz w:val="32"/>
          <w:szCs w:val="32"/>
        </w:rPr>
        <w:t>示范村</w:t>
      </w:r>
      <w:r>
        <w:rPr>
          <w:rFonts w:hint="eastAsia" w:ascii="仿宋_GB2312" w:eastAsia="仿宋_GB2312"/>
          <w:spacing w:val="-6"/>
          <w:sz w:val="32"/>
          <w:szCs w:val="32"/>
        </w:rPr>
        <w:t>”</w:t>
      </w:r>
      <w:r>
        <w:rPr>
          <w:rFonts w:hint="eastAsia" w:ascii="仿宋_GB2312" w:eastAsia="仿宋_GB2312" w:cs="仿宋_GB2312"/>
          <w:spacing w:val="-6"/>
          <w:sz w:val="32"/>
          <w:szCs w:val="32"/>
        </w:rPr>
        <w:t>创建标准</w:t>
      </w:r>
    </w:p>
    <w:p>
      <w:pPr>
        <w:spacing w:line="590" w:lineRule="exact"/>
        <w:ind w:firstLine="1540" w:firstLineChars="500"/>
        <w:rPr>
          <w:rFonts w:eastAsia="仿宋_GB2312"/>
          <w:spacing w:val="-6"/>
          <w:kern w:val="0"/>
          <w:sz w:val="32"/>
          <w:szCs w:val="32"/>
        </w:rPr>
      </w:pPr>
      <w:r>
        <w:rPr>
          <w:rFonts w:eastAsia="仿宋_GB2312"/>
          <w:spacing w:val="-6"/>
          <w:kern w:val="0"/>
          <w:sz w:val="32"/>
          <w:szCs w:val="32"/>
        </w:rPr>
        <w:t>2.</w:t>
      </w:r>
      <w:r>
        <w:rPr>
          <w:rFonts w:hint="eastAsia" w:eastAsia="仿宋_GB2312" w:cs="仿宋_GB2312"/>
          <w:spacing w:val="-6"/>
          <w:sz w:val="32"/>
          <w:szCs w:val="32"/>
        </w:rPr>
        <w:t>义乌市农村生活垃圾分类工作领导小组成员名单</w:t>
      </w:r>
    </w:p>
    <w:p>
      <w:pPr>
        <w:spacing w:line="590" w:lineRule="exact"/>
        <w:ind w:firstLine="1540" w:firstLineChars="500"/>
        <w:rPr>
          <w:rFonts w:eastAsia="仿宋_GB2312"/>
          <w:spacing w:val="-6"/>
          <w:sz w:val="32"/>
          <w:szCs w:val="32"/>
        </w:rPr>
      </w:pPr>
      <w:r>
        <w:rPr>
          <w:rFonts w:eastAsia="仿宋_GB2312"/>
          <w:spacing w:val="-6"/>
          <w:kern w:val="0"/>
          <w:sz w:val="32"/>
          <w:szCs w:val="32"/>
        </w:rPr>
        <w:t>3.</w:t>
      </w:r>
      <w:r>
        <w:rPr>
          <w:rFonts w:hint="eastAsia" w:eastAsia="仿宋_GB2312" w:cs="仿宋_GB2312"/>
          <w:spacing w:val="-6"/>
          <w:kern w:val="0"/>
          <w:sz w:val="32"/>
          <w:szCs w:val="32"/>
        </w:rPr>
        <w:t>义乌市</w:t>
      </w:r>
      <w:r>
        <w:rPr>
          <w:rFonts w:hint="eastAsia" w:eastAsia="仿宋_GB2312" w:cs="仿宋_GB2312"/>
          <w:spacing w:val="-6"/>
          <w:sz w:val="32"/>
          <w:szCs w:val="32"/>
        </w:rPr>
        <w:t>农村生活垃圾分类工作责任体系</w:t>
      </w:r>
    </w:p>
    <w:p>
      <w:pPr>
        <w:spacing w:line="560" w:lineRule="exact"/>
        <w:ind w:firstLine="5082" w:firstLineChars="1650"/>
        <w:rPr>
          <w:rFonts w:eastAsia="仿宋_GB2312"/>
          <w:spacing w:val="-6"/>
          <w:kern w:val="0"/>
          <w:sz w:val="32"/>
          <w:szCs w:val="32"/>
        </w:rPr>
      </w:pPr>
    </w:p>
    <w:p>
      <w:pPr>
        <w:spacing w:line="560" w:lineRule="exact"/>
        <w:ind w:firstLine="5280" w:firstLineChars="1650"/>
        <w:rPr>
          <w:rFonts w:eastAsia="仿宋_GB2312"/>
          <w:kern w:val="0"/>
          <w:sz w:val="32"/>
          <w:szCs w:val="32"/>
        </w:rPr>
      </w:pPr>
    </w:p>
    <w:p>
      <w:pPr>
        <w:spacing w:line="560" w:lineRule="exact"/>
        <w:rPr>
          <w:rFonts w:eastAsia="楷体_GB2312"/>
          <w:color w:val="000000"/>
          <w:sz w:val="30"/>
          <w:szCs w:val="30"/>
        </w:rPr>
      </w:pPr>
    </w:p>
    <w:p>
      <w:pPr>
        <w:spacing w:line="560" w:lineRule="exact"/>
        <w:rPr>
          <w:rFonts w:eastAsia="楷体_GB2312"/>
          <w:color w:val="000000"/>
          <w:sz w:val="30"/>
          <w:szCs w:val="30"/>
        </w:rPr>
      </w:pPr>
    </w:p>
    <w:p>
      <w:pPr>
        <w:spacing w:line="560" w:lineRule="exact"/>
        <w:rPr>
          <w:rFonts w:eastAsia="楷体_GB2312"/>
          <w:color w:val="000000"/>
          <w:sz w:val="30"/>
          <w:szCs w:val="30"/>
        </w:rPr>
      </w:pPr>
    </w:p>
    <w:p>
      <w:pPr>
        <w:spacing w:line="560" w:lineRule="exact"/>
        <w:rPr>
          <w:rFonts w:eastAsia="楷体_GB2312"/>
          <w:color w:val="000000"/>
          <w:sz w:val="30"/>
          <w:szCs w:val="30"/>
        </w:rPr>
      </w:pPr>
    </w:p>
    <w:p>
      <w:pPr>
        <w:spacing w:line="560" w:lineRule="exact"/>
        <w:rPr>
          <w:rFonts w:eastAsia="楷体_GB2312"/>
          <w:color w:val="000000"/>
          <w:sz w:val="30"/>
          <w:szCs w:val="30"/>
        </w:rPr>
      </w:pPr>
    </w:p>
    <w:p>
      <w:pPr>
        <w:spacing w:line="560" w:lineRule="exact"/>
        <w:rPr>
          <w:rFonts w:hint="eastAsia" w:eastAsia="黑体" w:cs="黑体"/>
          <w:spacing w:val="-6"/>
          <w:sz w:val="32"/>
          <w:szCs w:val="32"/>
        </w:rPr>
      </w:pPr>
    </w:p>
    <w:p>
      <w:pPr>
        <w:spacing w:line="560" w:lineRule="exact"/>
        <w:rPr>
          <w:rFonts w:hint="eastAsia" w:eastAsia="黑体" w:cs="黑体"/>
          <w:spacing w:val="-6"/>
          <w:sz w:val="32"/>
          <w:szCs w:val="32"/>
        </w:rPr>
      </w:pPr>
    </w:p>
    <w:p>
      <w:pPr>
        <w:spacing w:line="560" w:lineRule="exact"/>
        <w:rPr>
          <w:rFonts w:hint="eastAsia" w:eastAsia="黑体" w:cs="黑体"/>
          <w:spacing w:val="-6"/>
          <w:sz w:val="32"/>
          <w:szCs w:val="32"/>
        </w:rPr>
      </w:pPr>
    </w:p>
    <w:p>
      <w:pPr>
        <w:spacing w:line="560" w:lineRule="exact"/>
        <w:rPr>
          <w:rFonts w:hint="eastAsia" w:eastAsia="黑体" w:cs="黑体"/>
          <w:spacing w:val="-6"/>
          <w:sz w:val="32"/>
          <w:szCs w:val="32"/>
        </w:rPr>
      </w:pPr>
    </w:p>
    <w:p>
      <w:pPr>
        <w:spacing w:line="560" w:lineRule="exact"/>
        <w:rPr>
          <w:rFonts w:hint="eastAsia" w:eastAsia="黑体" w:cs="黑体"/>
          <w:spacing w:val="-6"/>
          <w:sz w:val="32"/>
          <w:szCs w:val="32"/>
        </w:rPr>
      </w:pPr>
    </w:p>
    <w:p>
      <w:pPr>
        <w:spacing w:line="560" w:lineRule="exact"/>
        <w:rPr>
          <w:rFonts w:hint="eastAsia" w:eastAsia="黑体" w:cs="黑体"/>
          <w:spacing w:val="-6"/>
          <w:sz w:val="32"/>
          <w:szCs w:val="32"/>
        </w:rPr>
      </w:pPr>
    </w:p>
    <w:p>
      <w:pPr>
        <w:spacing w:line="560" w:lineRule="exact"/>
        <w:rPr>
          <w:rFonts w:hint="eastAsia" w:eastAsia="黑体" w:cs="黑体"/>
          <w:spacing w:val="-6"/>
          <w:sz w:val="32"/>
          <w:szCs w:val="32"/>
        </w:rPr>
      </w:pPr>
    </w:p>
    <w:p>
      <w:pPr>
        <w:spacing w:line="560" w:lineRule="exact"/>
        <w:rPr>
          <w:rFonts w:hint="eastAsia" w:eastAsia="黑体" w:cs="黑体"/>
          <w:spacing w:val="-6"/>
          <w:sz w:val="32"/>
          <w:szCs w:val="32"/>
        </w:rPr>
      </w:pPr>
    </w:p>
    <w:p>
      <w:pPr>
        <w:spacing w:line="560" w:lineRule="exact"/>
        <w:rPr>
          <w:rFonts w:hint="eastAsia" w:eastAsia="黑体"/>
          <w:spacing w:val="-6"/>
          <w:sz w:val="32"/>
          <w:szCs w:val="32"/>
        </w:rPr>
      </w:pPr>
      <w:r>
        <w:rPr>
          <w:rFonts w:eastAsia="黑体"/>
          <w:spacing w:val="-6"/>
          <w:sz w:val="32"/>
          <w:szCs w:val="32"/>
        </w:rPr>
        <w:t>附件1</w:t>
      </w:r>
    </w:p>
    <w:p>
      <w:pPr>
        <w:spacing w:line="560" w:lineRule="exact"/>
        <w:rPr>
          <w:rFonts w:hint="eastAsia" w:eastAsia="黑体"/>
          <w:spacing w:val="-6"/>
          <w:sz w:val="32"/>
          <w:szCs w:val="32"/>
        </w:rPr>
      </w:pPr>
    </w:p>
    <w:p>
      <w:pPr>
        <w:spacing w:line="700" w:lineRule="exact"/>
        <w:jc w:val="center"/>
        <w:rPr>
          <w:rFonts w:hint="eastAsia" w:ascii="方正小标宋简体" w:eastAsia="方正小标宋简体"/>
          <w:sz w:val="44"/>
          <w:szCs w:val="44"/>
        </w:rPr>
      </w:pPr>
      <w:r>
        <w:rPr>
          <w:rFonts w:hint="eastAsia" w:ascii="方正小标宋简体" w:eastAsia="方正小标宋简体" w:cs="方正小标宋简体"/>
          <w:sz w:val="44"/>
          <w:szCs w:val="44"/>
        </w:rPr>
        <w:t>义乌市农村生活垃圾分类</w:t>
      </w:r>
      <w:r>
        <w:rPr>
          <w:rFonts w:hint="eastAsia" w:ascii="方正小标宋简体" w:eastAsia="方正小标宋简体"/>
          <w:sz w:val="44"/>
          <w:szCs w:val="44"/>
        </w:rPr>
        <w:t>“</w:t>
      </w:r>
      <w:r>
        <w:rPr>
          <w:rFonts w:hint="eastAsia" w:ascii="方正小标宋简体" w:eastAsia="方正小标宋简体" w:cs="方正小标宋简体"/>
          <w:sz w:val="44"/>
          <w:szCs w:val="44"/>
        </w:rPr>
        <w:t>示范村</w:t>
      </w:r>
      <w:r>
        <w:rPr>
          <w:rFonts w:hint="eastAsia" w:ascii="方正小标宋简体" w:eastAsia="方正小标宋简体"/>
          <w:sz w:val="44"/>
          <w:szCs w:val="44"/>
        </w:rPr>
        <w:t>”</w:t>
      </w:r>
      <w:r>
        <w:rPr>
          <w:rFonts w:hint="eastAsia" w:ascii="方正小标宋简体" w:eastAsia="方正小标宋简体" w:cs="方正小标宋简体"/>
          <w:sz w:val="44"/>
          <w:szCs w:val="44"/>
        </w:rPr>
        <w:t>创建标准</w:t>
      </w:r>
    </w:p>
    <w:p>
      <w:pPr>
        <w:spacing w:line="560" w:lineRule="exact"/>
        <w:rPr>
          <w:rFonts w:eastAsia="仿宋_GB2312"/>
          <w:sz w:val="32"/>
          <w:szCs w:val="32"/>
        </w:rPr>
      </w:pPr>
    </w:p>
    <w:p>
      <w:pPr>
        <w:spacing w:line="570" w:lineRule="exact"/>
        <w:ind w:firstLine="616" w:firstLineChars="200"/>
        <w:rPr>
          <w:rFonts w:eastAsia="仿宋_GB2312"/>
          <w:spacing w:val="-6"/>
          <w:sz w:val="32"/>
          <w:szCs w:val="32"/>
        </w:rPr>
      </w:pPr>
      <w:r>
        <w:rPr>
          <w:rFonts w:hint="eastAsia" w:eastAsia="仿宋_GB2312" w:cs="仿宋_GB2312"/>
          <w:spacing w:val="-6"/>
          <w:sz w:val="32"/>
          <w:szCs w:val="32"/>
        </w:rPr>
        <w:t>农村生活垃圾分类处理示范村须具备以下标准，同时按验收规程组织验收。</w:t>
      </w:r>
    </w:p>
    <w:p>
      <w:pPr>
        <w:spacing w:line="570" w:lineRule="exact"/>
        <w:ind w:firstLine="616" w:firstLineChars="200"/>
        <w:rPr>
          <w:rFonts w:eastAsia="黑体"/>
          <w:spacing w:val="-6"/>
          <w:sz w:val="32"/>
          <w:szCs w:val="32"/>
        </w:rPr>
      </w:pPr>
      <w:r>
        <w:rPr>
          <w:rFonts w:hint="eastAsia" w:eastAsia="黑体" w:cs="黑体"/>
          <w:spacing w:val="-6"/>
          <w:sz w:val="32"/>
          <w:szCs w:val="32"/>
        </w:rPr>
        <w:t>一、创建标准</w:t>
      </w:r>
    </w:p>
    <w:p>
      <w:pPr>
        <w:spacing w:line="570" w:lineRule="exact"/>
        <w:ind w:firstLine="616" w:firstLineChars="200"/>
        <w:rPr>
          <w:rFonts w:eastAsia="仿宋_GB2312"/>
          <w:color w:val="000000"/>
          <w:spacing w:val="-6"/>
          <w:sz w:val="32"/>
          <w:szCs w:val="32"/>
        </w:rPr>
      </w:pPr>
      <w:r>
        <w:rPr>
          <w:rFonts w:hint="eastAsia" w:eastAsia="楷体_GB2312" w:cs="楷体_GB2312"/>
          <w:color w:val="000000"/>
          <w:spacing w:val="-6"/>
          <w:sz w:val="32"/>
          <w:szCs w:val="32"/>
        </w:rPr>
        <w:t>（一）组织机构管理要求：</w:t>
      </w:r>
      <w:r>
        <w:rPr>
          <w:rFonts w:hint="eastAsia" w:eastAsia="仿宋_GB2312" w:cs="仿宋_GB2312"/>
          <w:color w:val="000000"/>
          <w:spacing w:val="-6"/>
          <w:sz w:val="32"/>
          <w:szCs w:val="32"/>
        </w:rPr>
        <w:t>机构健全，有专门的管理、监督和考核人员，设置专职监督员；严格落实垃圾收费、党员干部联片包户和村</w:t>
      </w:r>
      <w:r>
        <w:rPr>
          <w:rFonts w:hint="eastAsia" w:ascii="仿宋_GB2312" w:eastAsia="仿宋_GB2312" w:cs="仿宋_GB2312"/>
          <w:color w:val="000000"/>
          <w:spacing w:val="-6"/>
          <w:sz w:val="32"/>
          <w:szCs w:val="32"/>
        </w:rPr>
        <w:t>级</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荣辱榜</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制度，有健</w:t>
      </w:r>
      <w:r>
        <w:rPr>
          <w:rFonts w:hint="eastAsia" w:eastAsia="仿宋_GB2312" w:cs="仿宋_GB2312"/>
          <w:color w:val="000000"/>
          <w:spacing w:val="-6"/>
          <w:sz w:val="32"/>
          <w:szCs w:val="32"/>
        </w:rPr>
        <w:t>全的监督、考核机制，设置监督考核公示栏；</w:t>
      </w:r>
      <w:r>
        <w:rPr>
          <w:rFonts w:hint="eastAsia" w:eastAsia="仿宋_GB2312" w:cs="仿宋_GB2312"/>
          <w:spacing w:val="-6"/>
          <w:sz w:val="32"/>
          <w:szCs w:val="32"/>
        </w:rPr>
        <w:t>按照每</w:t>
      </w:r>
      <w:r>
        <w:rPr>
          <w:rFonts w:eastAsia="仿宋_GB2312"/>
          <w:spacing w:val="-6"/>
          <w:sz w:val="32"/>
          <w:szCs w:val="32"/>
        </w:rPr>
        <w:t>300</w:t>
      </w:r>
      <w:r>
        <w:rPr>
          <w:rFonts w:hint="eastAsia" w:eastAsia="仿宋_GB2312" w:cs="仿宋_GB2312"/>
          <w:spacing w:val="-6"/>
          <w:sz w:val="32"/>
          <w:szCs w:val="32"/>
        </w:rPr>
        <w:t>人常住人口配备一名分拣员（保洁员）</w:t>
      </w:r>
      <w:r>
        <w:rPr>
          <w:rFonts w:hint="eastAsia" w:eastAsia="仿宋_GB2312" w:cs="仿宋_GB2312"/>
          <w:color w:val="000000"/>
          <w:spacing w:val="-6"/>
          <w:sz w:val="32"/>
          <w:szCs w:val="32"/>
        </w:rPr>
        <w:t>，每</w:t>
      </w:r>
      <w:r>
        <w:rPr>
          <w:rFonts w:hint="eastAsia" w:eastAsia="仿宋_GB2312" w:cs="仿宋_GB2312"/>
          <w:spacing w:val="-6"/>
          <w:sz w:val="32"/>
          <w:szCs w:val="32"/>
        </w:rPr>
        <w:t>年参加培训</w:t>
      </w:r>
      <w:r>
        <w:rPr>
          <w:rFonts w:eastAsia="仿宋_GB2312"/>
          <w:spacing w:val="-6"/>
          <w:sz w:val="32"/>
          <w:szCs w:val="32"/>
        </w:rPr>
        <w:t>2</w:t>
      </w:r>
      <w:r>
        <w:rPr>
          <w:rFonts w:hint="eastAsia" w:eastAsia="仿宋_GB2312" w:cs="仿宋_GB2312"/>
          <w:spacing w:val="-6"/>
          <w:sz w:val="32"/>
          <w:szCs w:val="32"/>
        </w:rPr>
        <w:t>次以上。</w:t>
      </w:r>
    </w:p>
    <w:p>
      <w:pPr>
        <w:widowControl/>
        <w:spacing w:line="570" w:lineRule="exact"/>
        <w:ind w:firstLine="616" w:firstLineChars="200"/>
        <w:rPr>
          <w:rFonts w:eastAsia="仿宋_GB2312"/>
          <w:spacing w:val="-6"/>
          <w:sz w:val="32"/>
          <w:szCs w:val="32"/>
        </w:rPr>
      </w:pPr>
      <w:r>
        <w:rPr>
          <w:rFonts w:hint="eastAsia" w:eastAsia="楷体_GB2312" w:cs="楷体_GB2312"/>
          <w:color w:val="000000"/>
          <w:spacing w:val="-6"/>
          <w:sz w:val="32"/>
          <w:szCs w:val="32"/>
        </w:rPr>
        <w:t>（二）宣传发动工作要求：</w:t>
      </w:r>
      <w:r>
        <w:rPr>
          <w:rFonts w:hint="eastAsia" w:eastAsia="仿宋_GB2312" w:cs="仿宋_GB2312"/>
          <w:color w:val="000000"/>
          <w:spacing w:val="-6"/>
          <w:sz w:val="32"/>
          <w:szCs w:val="32"/>
        </w:rPr>
        <w:t>召开村两委、党员、村民代表、女户主等四个层面垃圾分类会议；青年、妇联组织等定期开展宣传教育活动；倡议书、宣传画、垃圾分类手册等宣传用品发放到户，要营造浓厚的垃圾分类氛围，垃圾分类方法、政策宣传、考核制度上墙，随机调查农户垃圾</w:t>
      </w:r>
      <w:r>
        <w:rPr>
          <w:rFonts w:hint="eastAsia" w:eastAsia="仿宋_GB2312" w:cs="仿宋_GB2312"/>
          <w:spacing w:val="-6"/>
          <w:sz w:val="32"/>
          <w:szCs w:val="32"/>
        </w:rPr>
        <w:t>分类知晓率达</w:t>
      </w:r>
      <w:r>
        <w:rPr>
          <w:rFonts w:eastAsia="仿宋_GB2312"/>
          <w:spacing w:val="-6"/>
          <w:sz w:val="32"/>
          <w:szCs w:val="32"/>
        </w:rPr>
        <w:t>100%</w:t>
      </w:r>
      <w:r>
        <w:rPr>
          <w:rFonts w:hint="eastAsia" w:eastAsia="仿宋_GB2312" w:cs="仿宋_GB2312"/>
          <w:spacing w:val="-6"/>
          <w:sz w:val="32"/>
          <w:szCs w:val="32"/>
        </w:rPr>
        <w:t>。</w:t>
      </w:r>
    </w:p>
    <w:p>
      <w:pPr>
        <w:widowControl/>
        <w:spacing w:line="570" w:lineRule="exact"/>
        <w:ind w:firstLine="616" w:firstLineChars="200"/>
        <w:rPr>
          <w:rFonts w:eastAsia="仿宋_GB2312"/>
          <w:color w:val="000000"/>
          <w:spacing w:val="-6"/>
          <w:sz w:val="32"/>
          <w:szCs w:val="32"/>
        </w:rPr>
      </w:pPr>
      <w:r>
        <w:rPr>
          <w:rFonts w:hint="eastAsia" w:eastAsia="楷体_GB2312" w:cs="楷体_GB2312"/>
          <w:color w:val="000000"/>
          <w:spacing w:val="-6"/>
          <w:sz w:val="32"/>
          <w:szCs w:val="32"/>
        </w:rPr>
        <w:t>（三）垃圾分类工作收集投放要求：</w:t>
      </w:r>
      <w:r>
        <w:rPr>
          <w:rFonts w:hint="eastAsia" w:eastAsia="仿宋_GB2312" w:cs="仿宋_GB2312"/>
          <w:color w:val="000000"/>
          <w:spacing w:val="-6"/>
          <w:sz w:val="32"/>
          <w:szCs w:val="32"/>
        </w:rPr>
        <w:t>配备分类收集垃圾车、太阳能垃圾（机器设备）处理站、其他垃圾房、宣传栏等垃圾处置设施；每户分别配备可堆肥和其他垃圾收集桶；分拣、保洁员身体健康，能胜任本职工作；农户源头分类基本全覆盖，党员干部分类正确率达</w:t>
      </w:r>
      <w:r>
        <w:rPr>
          <w:rFonts w:eastAsia="仿宋_GB2312"/>
          <w:color w:val="000000"/>
          <w:spacing w:val="-6"/>
          <w:sz w:val="32"/>
          <w:szCs w:val="32"/>
        </w:rPr>
        <w:t>100%</w:t>
      </w:r>
      <w:r>
        <w:rPr>
          <w:rFonts w:hint="eastAsia" w:eastAsia="仿宋_GB2312" w:cs="仿宋_GB2312"/>
          <w:color w:val="000000"/>
          <w:spacing w:val="-6"/>
          <w:sz w:val="32"/>
          <w:szCs w:val="32"/>
        </w:rPr>
        <w:t>；分拣员入户分类收集，投放垃圾房时二次分拣到位；做到垃圾日产日清。</w:t>
      </w:r>
    </w:p>
    <w:p>
      <w:pPr>
        <w:widowControl/>
        <w:spacing w:line="570" w:lineRule="exact"/>
        <w:ind w:firstLine="616" w:firstLineChars="200"/>
        <w:rPr>
          <w:rFonts w:eastAsia="仿宋_GB2312"/>
          <w:color w:val="000000"/>
          <w:spacing w:val="-6"/>
          <w:sz w:val="32"/>
          <w:szCs w:val="32"/>
        </w:rPr>
      </w:pPr>
      <w:r>
        <w:rPr>
          <w:rFonts w:hint="eastAsia" w:eastAsia="楷体_GB2312" w:cs="楷体_GB2312"/>
          <w:color w:val="000000"/>
          <w:spacing w:val="-6"/>
          <w:sz w:val="32"/>
          <w:szCs w:val="32"/>
        </w:rPr>
        <w:t>（四）处理设施维护管理要求：</w:t>
      </w:r>
      <w:r>
        <w:rPr>
          <w:rFonts w:hint="eastAsia" w:eastAsia="仿宋_GB2312" w:cs="仿宋_GB2312"/>
          <w:color w:val="000000"/>
          <w:spacing w:val="-6"/>
          <w:sz w:val="32"/>
          <w:szCs w:val="32"/>
        </w:rPr>
        <w:t>垃圾分类终端处理站实行封闭管理；进、出料口及进、出场道路安全措施到位；周边按标准设置护栏和警示标志；定期进行发酵菌接种，补充湿度；有效利用垃圾渗沥液回灌；场地周边环境卫生良好，及时消杀蚊虫。机器处理站运行正常，各项制度上墙，卫生保洁良好，进出料记录齐全。</w:t>
      </w:r>
    </w:p>
    <w:p>
      <w:pPr>
        <w:widowControl/>
        <w:spacing w:line="570" w:lineRule="exact"/>
        <w:ind w:firstLine="616" w:firstLineChars="200"/>
        <w:rPr>
          <w:rFonts w:eastAsia="仿宋_GB2312"/>
          <w:color w:val="000000"/>
          <w:spacing w:val="-6"/>
          <w:sz w:val="32"/>
          <w:szCs w:val="32"/>
        </w:rPr>
      </w:pPr>
      <w:r>
        <w:rPr>
          <w:rFonts w:hint="eastAsia" w:eastAsia="楷体_GB2312" w:cs="楷体_GB2312"/>
          <w:color w:val="000000"/>
          <w:spacing w:val="-6"/>
          <w:sz w:val="32"/>
          <w:szCs w:val="32"/>
        </w:rPr>
        <w:t>（五）村容环境要求：</w:t>
      </w:r>
      <w:r>
        <w:rPr>
          <w:rFonts w:hint="eastAsia" w:ascii="仿宋_GB2312" w:eastAsia="仿宋_GB2312" w:cs="仿宋_GB2312"/>
          <w:color w:val="000000"/>
          <w:spacing w:val="-6"/>
          <w:sz w:val="32"/>
          <w:szCs w:val="32"/>
        </w:rPr>
        <w:t>村内公共场所、道路、巷弄、绿地、水沟、池塘及岸坡等干净、整洁；村庄连接带及道路沿线可视区域内无暴露垃圾、渣土及</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白色污染</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；无垃圾地坑、简易垃圾房等；</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门前五包</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责任到位，垃圾桶保持外观干净，摆放整齐，无明显破损；有设置垃圾桶清洗场所，洗涤污水必须经过沉淀池后纳入污水管。</w:t>
      </w:r>
    </w:p>
    <w:p>
      <w:pPr>
        <w:widowControl/>
        <w:spacing w:line="570" w:lineRule="exact"/>
        <w:ind w:firstLine="616" w:firstLineChars="200"/>
        <w:rPr>
          <w:rFonts w:hint="eastAsia" w:ascii="仿宋_GB2312" w:eastAsia="仿宋_GB2312"/>
          <w:color w:val="000000"/>
          <w:spacing w:val="-6"/>
          <w:sz w:val="32"/>
          <w:szCs w:val="32"/>
        </w:rPr>
      </w:pPr>
      <w:r>
        <w:rPr>
          <w:rFonts w:hint="eastAsia" w:eastAsia="楷体_GB2312" w:cs="楷体_GB2312"/>
          <w:color w:val="000000"/>
          <w:spacing w:val="-6"/>
          <w:sz w:val="32"/>
          <w:szCs w:val="32"/>
        </w:rPr>
        <w:t>（六）特色工作要求：</w:t>
      </w:r>
      <w:r>
        <w:rPr>
          <w:rFonts w:hint="eastAsia" w:ascii="仿宋_GB2312" w:eastAsia="仿宋_GB2312" w:cs="仿宋_GB2312"/>
          <w:color w:val="000000"/>
          <w:spacing w:val="-6"/>
          <w:sz w:val="32"/>
          <w:szCs w:val="32"/>
        </w:rPr>
        <w:t>建立一个农村生活垃圾分类积分兑换超市（点），并要求正常运行。建立回收利用制度，配备可回收垃圾及有害垃圾集中收集存放点，并落实专门管理人员。积极探索</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互联网</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垃圾分类</w:t>
      </w:r>
      <w:r>
        <w:rPr>
          <w:rFonts w:hint="eastAsia" w:ascii="仿宋_GB2312" w:eastAsia="仿宋_GB2312"/>
          <w:color w:val="000000"/>
          <w:spacing w:val="-6"/>
          <w:sz w:val="32"/>
          <w:szCs w:val="32"/>
        </w:rPr>
        <w:t>”</w:t>
      </w:r>
      <w:r>
        <w:rPr>
          <w:rFonts w:hint="eastAsia" w:ascii="仿宋_GB2312" w:eastAsia="仿宋_GB2312" w:cs="仿宋_GB2312"/>
          <w:color w:val="000000"/>
          <w:spacing w:val="-6"/>
          <w:sz w:val="32"/>
          <w:szCs w:val="32"/>
        </w:rPr>
        <w:t>、垃圾不落地等创新模式助推垃圾分类。</w:t>
      </w:r>
    </w:p>
    <w:p>
      <w:pPr>
        <w:spacing w:line="570" w:lineRule="exact"/>
        <w:ind w:firstLine="616" w:firstLineChars="200"/>
        <w:rPr>
          <w:rFonts w:hint="eastAsia" w:eastAsia="仿宋_GB2312"/>
          <w:b/>
          <w:bCs/>
          <w:spacing w:val="-6"/>
          <w:sz w:val="32"/>
          <w:szCs w:val="32"/>
        </w:rPr>
      </w:pPr>
      <w:r>
        <w:rPr>
          <w:rFonts w:hint="eastAsia" w:eastAsia="黑体" w:cs="黑体"/>
          <w:spacing w:val="-6"/>
          <w:sz w:val="32"/>
          <w:szCs w:val="32"/>
        </w:rPr>
        <w:t>二、验收规程</w:t>
      </w:r>
    </w:p>
    <w:p>
      <w:pPr>
        <w:spacing w:line="570" w:lineRule="exact"/>
        <w:ind w:firstLine="616" w:firstLineChars="200"/>
        <w:rPr>
          <w:rFonts w:hint="eastAsia" w:ascii="楷体_GB2312" w:eastAsia="楷体_GB2312"/>
          <w:bCs/>
          <w:spacing w:val="-6"/>
          <w:sz w:val="32"/>
          <w:szCs w:val="32"/>
        </w:rPr>
      </w:pPr>
      <w:r>
        <w:rPr>
          <w:rFonts w:hint="eastAsia" w:ascii="楷体_GB2312" w:eastAsia="楷体_GB2312"/>
          <w:bCs/>
          <w:spacing w:val="-6"/>
          <w:sz w:val="32"/>
          <w:szCs w:val="32"/>
        </w:rPr>
        <w:t>（一）</w:t>
      </w:r>
      <w:r>
        <w:rPr>
          <w:rFonts w:hint="eastAsia" w:ascii="楷体_GB2312" w:eastAsia="楷体_GB2312" w:cs="楷体_GB2312"/>
          <w:spacing w:val="-6"/>
          <w:sz w:val="32"/>
          <w:szCs w:val="32"/>
        </w:rPr>
        <w:t>验收材料</w:t>
      </w:r>
    </w:p>
    <w:p>
      <w:pPr>
        <w:spacing w:line="570" w:lineRule="exact"/>
        <w:ind w:firstLine="616" w:firstLineChars="200"/>
        <w:rPr>
          <w:rFonts w:hint="eastAsia" w:ascii="楷体_GB2312" w:eastAsia="楷体_GB2312"/>
          <w:bCs/>
          <w:spacing w:val="-6"/>
          <w:sz w:val="32"/>
          <w:szCs w:val="32"/>
        </w:rPr>
      </w:pPr>
      <w:r>
        <w:rPr>
          <w:rFonts w:eastAsia="楷体_GB2312"/>
          <w:bCs/>
          <w:spacing w:val="-6"/>
          <w:sz w:val="32"/>
          <w:szCs w:val="32"/>
        </w:rPr>
        <w:t>1</w:t>
      </w:r>
      <w:r>
        <w:rPr>
          <w:rFonts w:hint="eastAsia" w:ascii="楷体_GB2312" w:eastAsia="楷体_GB2312"/>
          <w:bCs/>
          <w:spacing w:val="-6"/>
          <w:sz w:val="32"/>
          <w:szCs w:val="32"/>
        </w:rPr>
        <w:t>.</w:t>
      </w:r>
      <w:r>
        <w:rPr>
          <w:rFonts w:hint="eastAsia" w:eastAsia="仿宋_GB2312" w:cs="仿宋_GB2312"/>
          <w:spacing w:val="-6"/>
          <w:sz w:val="32"/>
          <w:szCs w:val="32"/>
        </w:rPr>
        <w:t>农村生活垃圾分类处理示范村验收申报表</w:t>
      </w:r>
      <w:r>
        <w:rPr>
          <w:rFonts w:hint="eastAsia" w:eastAsia="仿宋_GB2312"/>
          <w:spacing w:val="-6"/>
          <w:sz w:val="32"/>
          <w:szCs w:val="32"/>
        </w:rPr>
        <w:t>；</w:t>
      </w:r>
    </w:p>
    <w:p>
      <w:pPr>
        <w:spacing w:line="570" w:lineRule="exact"/>
        <w:ind w:firstLine="616" w:firstLineChars="200"/>
        <w:rPr>
          <w:rFonts w:hint="eastAsia" w:ascii="楷体_GB2312" w:eastAsia="楷体_GB2312"/>
          <w:bCs/>
          <w:spacing w:val="-6"/>
          <w:sz w:val="32"/>
          <w:szCs w:val="32"/>
        </w:rPr>
      </w:pPr>
      <w:r>
        <w:rPr>
          <w:rFonts w:hint="eastAsia" w:eastAsia="楷体_GB2312"/>
          <w:bCs/>
          <w:spacing w:val="-6"/>
          <w:sz w:val="32"/>
          <w:szCs w:val="32"/>
        </w:rPr>
        <w:t>2</w:t>
      </w:r>
      <w:r>
        <w:rPr>
          <w:rFonts w:hint="eastAsia" w:ascii="楷体_GB2312" w:eastAsia="楷体_GB2312"/>
          <w:bCs/>
          <w:spacing w:val="-6"/>
          <w:sz w:val="32"/>
          <w:szCs w:val="32"/>
        </w:rPr>
        <w:t>.</w:t>
      </w:r>
      <w:r>
        <w:rPr>
          <w:rFonts w:hint="eastAsia" w:eastAsia="仿宋_GB2312" w:cs="仿宋_GB2312"/>
          <w:spacing w:val="-6"/>
          <w:sz w:val="32"/>
          <w:szCs w:val="32"/>
        </w:rPr>
        <w:t>附件材料</w:t>
      </w:r>
      <w:r>
        <w:rPr>
          <w:rFonts w:hint="eastAsia" w:eastAsia="仿宋_GB2312"/>
          <w:spacing w:val="-6"/>
          <w:sz w:val="32"/>
          <w:szCs w:val="32"/>
        </w:rPr>
        <w:t>：</w:t>
      </w:r>
      <w:r>
        <w:rPr>
          <w:rFonts w:hint="eastAsia" w:eastAsia="仿宋_GB2312" w:cs="仿宋_GB2312"/>
          <w:spacing w:val="-6"/>
          <w:sz w:val="32"/>
          <w:szCs w:val="32"/>
        </w:rPr>
        <w:t>镇（街道）、村二级农村生活垃圾分类处理工作机构、对保洁员</w:t>
      </w:r>
      <w:r>
        <w:rPr>
          <w:rFonts w:hint="eastAsia" w:eastAsia="仿宋_GB2312"/>
          <w:spacing w:val="-6"/>
          <w:sz w:val="32"/>
          <w:szCs w:val="32"/>
        </w:rPr>
        <w:t>（</w:t>
      </w:r>
      <w:r>
        <w:rPr>
          <w:rFonts w:hint="eastAsia" w:eastAsia="仿宋_GB2312" w:cs="仿宋_GB2312"/>
          <w:spacing w:val="-6"/>
          <w:sz w:val="32"/>
          <w:szCs w:val="32"/>
        </w:rPr>
        <w:t>分拣员</w:t>
      </w:r>
      <w:r>
        <w:rPr>
          <w:rFonts w:hint="eastAsia" w:eastAsia="仿宋_GB2312"/>
          <w:spacing w:val="-6"/>
          <w:sz w:val="32"/>
          <w:szCs w:val="32"/>
        </w:rPr>
        <w:t>）</w:t>
      </w:r>
      <w:r>
        <w:rPr>
          <w:rFonts w:hint="eastAsia" w:eastAsia="仿宋_GB2312" w:cs="仿宋_GB2312"/>
          <w:spacing w:val="-6"/>
          <w:sz w:val="32"/>
          <w:szCs w:val="32"/>
        </w:rPr>
        <w:t>和农户的奖惩制度和检查考核记录、宣传材料、会议记录、回收数据等相关资料</w:t>
      </w:r>
      <w:r>
        <w:rPr>
          <w:rFonts w:hint="eastAsia" w:eastAsia="仿宋_GB2312"/>
          <w:spacing w:val="-6"/>
          <w:sz w:val="32"/>
          <w:szCs w:val="32"/>
        </w:rPr>
        <w:t>；</w:t>
      </w:r>
    </w:p>
    <w:p>
      <w:pPr>
        <w:spacing w:line="570" w:lineRule="exact"/>
        <w:ind w:firstLine="616" w:firstLineChars="200"/>
        <w:rPr>
          <w:rFonts w:hint="eastAsia" w:ascii="楷体_GB2312" w:eastAsia="楷体_GB2312"/>
          <w:bCs/>
          <w:spacing w:val="-6"/>
          <w:sz w:val="32"/>
          <w:szCs w:val="32"/>
        </w:rPr>
      </w:pPr>
      <w:r>
        <w:rPr>
          <w:rFonts w:hint="eastAsia" w:eastAsia="楷体_GB2312"/>
          <w:spacing w:val="-6"/>
          <w:sz w:val="32"/>
          <w:szCs w:val="32"/>
        </w:rPr>
        <w:t>（二）</w:t>
      </w:r>
      <w:r>
        <w:rPr>
          <w:rFonts w:hint="eastAsia" w:eastAsia="楷体_GB2312" w:cs="楷体_GB2312"/>
          <w:spacing w:val="-6"/>
          <w:sz w:val="32"/>
          <w:szCs w:val="32"/>
        </w:rPr>
        <w:t>验收程序</w:t>
      </w:r>
    </w:p>
    <w:p>
      <w:pPr>
        <w:spacing w:line="570" w:lineRule="exact"/>
        <w:ind w:firstLine="616" w:firstLineChars="200"/>
        <w:rPr>
          <w:rFonts w:hint="eastAsia" w:ascii="楷体_GB2312" w:eastAsia="楷体_GB2312"/>
          <w:bCs/>
          <w:spacing w:val="-6"/>
          <w:sz w:val="32"/>
          <w:szCs w:val="32"/>
        </w:rPr>
      </w:pPr>
      <w:r>
        <w:rPr>
          <w:rFonts w:eastAsia="楷体_GB2312"/>
          <w:bCs/>
          <w:spacing w:val="-6"/>
          <w:sz w:val="32"/>
          <w:szCs w:val="32"/>
        </w:rPr>
        <w:t>1</w:t>
      </w:r>
      <w:r>
        <w:rPr>
          <w:rFonts w:hint="eastAsia" w:ascii="楷体_GB2312" w:eastAsia="楷体_GB2312"/>
          <w:bCs/>
          <w:spacing w:val="-6"/>
          <w:sz w:val="32"/>
          <w:szCs w:val="32"/>
        </w:rPr>
        <w:t>.</w:t>
      </w:r>
      <w:r>
        <w:rPr>
          <w:rFonts w:hint="eastAsia" w:eastAsia="仿宋_GB2312" w:cs="仿宋_GB2312"/>
          <w:spacing w:val="-6"/>
          <w:sz w:val="32"/>
          <w:szCs w:val="32"/>
        </w:rPr>
        <w:t>根据年初下达的示范村创建计划，各镇（街道）根据创建村提交的相关材料组成验收小组开展创建验收考核，对照《义乌市农村生活垃圾分类示范村验收申报表》进行初评，验收考核得分须达到</w:t>
      </w:r>
      <w:r>
        <w:rPr>
          <w:rFonts w:eastAsia="仿宋_GB2312"/>
          <w:spacing w:val="-6"/>
          <w:sz w:val="32"/>
          <w:szCs w:val="32"/>
        </w:rPr>
        <w:t xml:space="preserve"> 90 </w:t>
      </w:r>
      <w:r>
        <w:rPr>
          <w:rFonts w:hint="eastAsia" w:eastAsia="仿宋_GB2312" w:cs="仿宋_GB2312"/>
          <w:spacing w:val="-6"/>
          <w:sz w:val="32"/>
          <w:szCs w:val="32"/>
        </w:rPr>
        <w:t>分以上，</w:t>
      </w:r>
      <w:r>
        <w:rPr>
          <w:rFonts w:hint="eastAsia" w:ascii="仿宋_GB2312" w:eastAsia="仿宋_GB2312" w:cs="仿宋_GB2312"/>
          <w:spacing w:val="-6"/>
          <w:sz w:val="32"/>
          <w:szCs w:val="32"/>
        </w:rPr>
        <w:t>且</w:t>
      </w:r>
      <w:r>
        <w:rPr>
          <w:rFonts w:hint="eastAsia" w:ascii="仿宋_GB2312" w:eastAsia="仿宋_GB2312"/>
          <w:spacing w:val="-6"/>
          <w:sz w:val="32"/>
          <w:szCs w:val="32"/>
        </w:rPr>
        <w:t>“</w:t>
      </w:r>
      <w:r>
        <w:rPr>
          <w:rFonts w:hint="eastAsia" w:ascii="仿宋_GB2312" w:eastAsia="仿宋_GB2312" w:cs="仿宋_GB2312"/>
          <w:spacing w:val="-6"/>
          <w:sz w:val="32"/>
          <w:szCs w:val="32"/>
        </w:rPr>
        <w:t>垃圾分类</w:t>
      </w:r>
      <w:r>
        <w:rPr>
          <w:rFonts w:hint="eastAsia" w:ascii="仿宋_GB2312" w:eastAsia="仿宋_GB2312"/>
          <w:spacing w:val="-6"/>
          <w:sz w:val="32"/>
          <w:szCs w:val="32"/>
        </w:rPr>
        <w:t>”</w:t>
      </w:r>
      <w:r>
        <w:rPr>
          <w:rFonts w:hint="eastAsia" w:ascii="仿宋_GB2312" w:eastAsia="仿宋_GB2312" w:cs="仿宋_GB2312"/>
          <w:spacing w:val="-6"/>
          <w:sz w:val="32"/>
          <w:szCs w:val="32"/>
        </w:rPr>
        <w:t>项</w:t>
      </w:r>
      <w:r>
        <w:rPr>
          <w:rFonts w:hint="eastAsia" w:eastAsia="仿宋_GB2312" w:cs="仿宋_GB2312"/>
          <w:spacing w:val="-6"/>
          <w:sz w:val="32"/>
          <w:szCs w:val="32"/>
        </w:rPr>
        <w:t>得分不得低于</w:t>
      </w:r>
      <w:r>
        <w:rPr>
          <w:rFonts w:eastAsia="仿宋_GB2312"/>
          <w:spacing w:val="-6"/>
          <w:sz w:val="32"/>
          <w:szCs w:val="32"/>
        </w:rPr>
        <w:t>32</w:t>
      </w:r>
      <w:r>
        <w:rPr>
          <w:rFonts w:hint="eastAsia" w:eastAsia="仿宋_GB2312" w:cs="仿宋_GB2312"/>
          <w:spacing w:val="-6"/>
          <w:sz w:val="32"/>
          <w:szCs w:val="32"/>
        </w:rPr>
        <w:t>分，农户源头分类准确率不低于</w:t>
      </w:r>
      <w:r>
        <w:rPr>
          <w:rFonts w:eastAsia="仿宋_GB2312"/>
          <w:spacing w:val="-6"/>
          <w:sz w:val="32"/>
          <w:szCs w:val="32"/>
        </w:rPr>
        <w:t>90%</w:t>
      </w:r>
      <w:r>
        <w:rPr>
          <w:rFonts w:hint="eastAsia" w:eastAsia="仿宋_GB2312" w:cs="仿宋_GB2312"/>
          <w:spacing w:val="-6"/>
          <w:sz w:val="32"/>
          <w:szCs w:val="32"/>
        </w:rPr>
        <w:t>，党员干部户准确率</w:t>
      </w:r>
      <w:r>
        <w:rPr>
          <w:rFonts w:eastAsia="仿宋_GB2312"/>
          <w:spacing w:val="-6"/>
          <w:sz w:val="32"/>
          <w:szCs w:val="32"/>
        </w:rPr>
        <w:t>100%</w:t>
      </w:r>
      <w:r>
        <w:rPr>
          <w:rFonts w:hint="eastAsia" w:eastAsia="仿宋_GB2312" w:cs="仿宋_GB2312"/>
          <w:spacing w:val="-6"/>
          <w:sz w:val="32"/>
          <w:szCs w:val="32"/>
        </w:rPr>
        <w:t>。无终端处理设施未使用、分拣员未分类收集运输的一票否决项</w:t>
      </w:r>
      <w:r>
        <w:rPr>
          <w:rFonts w:hint="eastAsia" w:ascii="仿宋_GB2312" w:eastAsia="仿宋_GB2312" w:cs="仿宋_GB2312"/>
          <w:spacing w:val="-6"/>
          <w:sz w:val="32"/>
          <w:szCs w:val="32"/>
        </w:rPr>
        <w:t>。</w:t>
      </w:r>
      <w:r>
        <w:rPr>
          <w:rFonts w:hint="eastAsia" w:ascii="仿宋_GB2312" w:eastAsia="仿宋_GB2312"/>
          <w:spacing w:val="-6"/>
          <w:sz w:val="32"/>
          <w:szCs w:val="32"/>
        </w:rPr>
        <w:t>“</w:t>
      </w:r>
      <w:r>
        <w:rPr>
          <w:rFonts w:hint="eastAsia" w:ascii="仿宋_GB2312" w:eastAsia="仿宋_GB2312" w:cs="仿宋_GB2312"/>
          <w:spacing w:val="-6"/>
          <w:sz w:val="32"/>
          <w:szCs w:val="32"/>
        </w:rPr>
        <w:t>特色工作</w:t>
      </w:r>
      <w:r>
        <w:rPr>
          <w:rFonts w:hint="eastAsia" w:ascii="仿宋_GB2312" w:eastAsia="仿宋_GB2312"/>
          <w:spacing w:val="-6"/>
          <w:sz w:val="32"/>
          <w:szCs w:val="32"/>
        </w:rPr>
        <w:t>”</w:t>
      </w:r>
      <w:r>
        <w:rPr>
          <w:rFonts w:hint="eastAsia" w:ascii="仿宋_GB2312" w:eastAsia="仿宋_GB2312" w:cs="仿宋_GB2312"/>
          <w:spacing w:val="-6"/>
          <w:sz w:val="32"/>
          <w:szCs w:val="32"/>
        </w:rPr>
        <w:t>项不</w:t>
      </w:r>
      <w:r>
        <w:rPr>
          <w:rFonts w:hint="eastAsia" w:eastAsia="仿宋_GB2312" w:cs="仿宋_GB2312"/>
          <w:spacing w:val="-6"/>
          <w:sz w:val="32"/>
          <w:szCs w:val="32"/>
        </w:rPr>
        <w:t>得低于</w:t>
      </w:r>
      <w:r>
        <w:rPr>
          <w:rFonts w:eastAsia="仿宋_GB2312"/>
          <w:spacing w:val="-6"/>
          <w:sz w:val="32"/>
          <w:szCs w:val="32"/>
        </w:rPr>
        <w:t>20</w:t>
      </w:r>
      <w:r>
        <w:rPr>
          <w:rFonts w:hint="eastAsia" w:eastAsia="仿宋_GB2312" w:cs="仿宋_GB2312"/>
          <w:spacing w:val="-6"/>
          <w:sz w:val="32"/>
          <w:szCs w:val="32"/>
        </w:rPr>
        <w:t>分。汇总验收结果并上报市农村垃圾分类办。</w:t>
      </w:r>
    </w:p>
    <w:p>
      <w:pPr>
        <w:spacing w:line="570" w:lineRule="exact"/>
        <w:ind w:firstLine="616" w:firstLineChars="200"/>
        <w:rPr>
          <w:rFonts w:ascii="楷体_GB2312" w:eastAsia="楷体_GB2312"/>
          <w:bCs/>
          <w:spacing w:val="-6"/>
          <w:sz w:val="32"/>
          <w:szCs w:val="32"/>
        </w:rPr>
      </w:pPr>
      <w:r>
        <w:rPr>
          <w:rFonts w:eastAsia="楷体_GB2312"/>
          <w:bCs/>
          <w:spacing w:val="-6"/>
          <w:sz w:val="32"/>
          <w:szCs w:val="32"/>
        </w:rPr>
        <w:t>2</w:t>
      </w:r>
      <w:r>
        <w:rPr>
          <w:rFonts w:hint="eastAsia" w:ascii="楷体_GB2312" w:eastAsia="楷体_GB2312"/>
          <w:bCs/>
          <w:spacing w:val="-6"/>
          <w:sz w:val="32"/>
          <w:szCs w:val="32"/>
        </w:rPr>
        <w:t>.</w:t>
      </w:r>
      <w:r>
        <w:rPr>
          <w:rFonts w:hint="eastAsia" w:eastAsia="仿宋_GB2312" w:cs="仿宋_GB2312"/>
          <w:spacing w:val="-6"/>
          <w:sz w:val="32"/>
          <w:szCs w:val="32"/>
        </w:rPr>
        <w:t>市农村垃圾分类办根据各镇（街道）汇总情况以日常暗访检查、年终查阅台账资料和实地现场勘查相结合的形式综合考评后确定通过示范村验收。</w:t>
      </w:r>
    </w:p>
    <w:p>
      <w:pPr>
        <w:spacing w:line="570" w:lineRule="exact"/>
        <w:ind w:firstLine="616" w:firstLineChars="200"/>
        <w:rPr>
          <w:rFonts w:eastAsia="黑体"/>
          <w:spacing w:val="-6"/>
          <w:sz w:val="32"/>
          <w:szCs w:val="32"/>
        </w:rPr>
      </w:pPr>
      <w:r>
        <w:rPr>
          <w:rFonts w:hint="eastAsia" w:eastAsia="黑体" w:cs="黑体"/>
          <w:spacing w:val="-6"/>
          <w:sz w:val="32"/>
          <w:szCs w:val="32"/>
        </w:rPr>
        <w:t>三、管理要求</w:t>
      </w:r>
    </w:p>
    <w:p>
      <w:pPr>
        <w:spacing w:line="570" w:lineRule="exact"/>
        <w:ind w:firstLine="616" w:firstLineChars="200"/>
        <w:rPr>
          <w:rFonts w:eastAsia="仿宋_GB2312"/>
          <w:spacing w:val="-6"/>
          <w:sz w:val="32"/>
          <w:szCs w:val="32"/>
        </w:rPr>
      </w:pPr>
      <w:r>
        <w:rPr>
          <w:rFonts w:hint="eastAsia" w:ascii="楷体_GB2312" w:eastAsia="楷体_GB2312"/>
          <w:spacing w:val="-6"/>
          <w:sz w:val="32"/>
          <w:szCs w:val="32"/>
        </w:rPr>
        <w:t>（一）</w:t>
      </w:r>
      <w:r>
        <w:rPr>
          <w:rFonts w:hint="eastAsia" w:eastAsia="仿宋_GB2312" w:cs="仿宋_GB2312"/>
          <w:spacing w:val="-6"/>
          <w:sz w:val="32"/>
          <w:szCs w:val="32"/>
        </w:rPr>
        <w:t>市农村垃圾分类办将通过明查暗访、集中督查、重点检查、公开排名通报方式、督促各镇（街道）进一步抓好以农村生活垃圾分类处理工作</w:t>
      </w:r>
      <w:r>
        <w:rPr>
          <w:rFonts w:hint="eastAsia" w:eastAsia="仿宋_GB2312"/>
          <w:spacing w:val="-6"/>
          <w:sz w:val="32"/>
          <w:szCs w:val="32"/>
        </w:rPr>
        <w:t>，</w:t>
      </w:r>
      <w:r>
        <w:rPr>
          <w:rFonts w:hint="eastAsia" w:eastAsia="仿宋_GB2312" w:cs="仿宋_GB2312"/>
          <w:spacing w:val="-6"/>
          <w:sz w:val="32"/>
          <w:szCs w:val="32"/>
        </w:rPr>
        <w:t>各镇（街道）要相应完善考核制度</w:t>
      </w:r>
      <w:r>
        <w:rPr>
          <w:rFonts w:hint="eastAsia" w:eastAsia="仿宋_GB2312"/>
          <w:spacing w:val="-6"/>
          <w:sz w:val="32"/>
          <w:szCs w:val="32"/>
        </w:rPr>
        <w:t>，</w:t>
      </w:r>
      <w:r>
        <w:rPr>
          <w:rFonts w:hint="eastAsia" w:eastAsia="仿宋_GB2312" w:cs="仿宋_GB2312"/>
          <w:spacing w:val="-6"/>
          <w:sz w:val="32"/>
          <w:szCs w:val="32"/>
        </w:rPr>
        <w:t>建立健全镇（街道）级月督查考核制度</w:t>
      </w:r>
      <w:r>
        <w:rPr>
          <w:rFonts w:eastAsia="仿宋_GB2312"/>
          <w:spacing w:val="-6"/>
          <w:sz w:val="32"/>
          <w:szCs w:val="32"/>
        </w:rPr>
        <w:t>,</w:t>
      </w:r>
      <w:r>
        <w:rPr>
          <w:rFonts w:hint="eastAsia" w:eastAsia="仿宋_GB2312" w:cs="仿宋_GB2312"/>
          <w:spacing w:val="-6"/>
          <w:sz w:val="32"/>
          <w:szCs w:val="32"/>
        </w:rPr>
        <w:t>确保农村垃圾分类处理示范村创建工作规范有序推进。</w:t>
      </w:r>
    </w:p>
    <w:p>
      <w:pPr>
        <w:spacing w:line="570" w:lineRule="exact"/>
        <w:ind w:firstLine="616" w:firstLineChars="200"/>
        <w:rPr>
          <w:rFonts w:eastAsia="仿宋_GB2312"/>
          <w:spacing w:val="-6"/>
          <w:sz w:val="32"/>
          <w:szCs w:val="32"/>
        </w:rPr>
      </w:pPr>
      <w:r>
        <w:rPr>
          <w:rFonts w:hint="eastAsia" w:ascii="楷体_GB2312" w:eastAsia="楷体_GB2312"/>
          <w:spacing w:val="-6"/>
          <w:sz w:val="32"/>
          <w:szCs w:val="32"/>
        </w:rPr>
        <w:t>（二）</w:t>
      </w:r>
      <w:r>
        <w:rPr>
          <w:rFonts w:hint="eastAsia" w:ascii="楷体_GB2312" w:eastAsia="楷体_GB2312" w:cs="仿宋_GB2312"/>
          <w:color w:val="000000"/>
          <w:spacing w:val="-6"/>
          <w:sz w:val="32"/>
          <w:szCs w:val="32"/>
        </w:rPr>
        <w:t>考核结果运用。</w:t>
      </w:r>
      <w:r>
        <w:rPr>
          <w:rFonts w:hint="eastAsia" w:eastAsia="仿宋_GB2312" w:cs="仿宋_GB2312"/>
          <w:color w:val="000000"/>
          <w:spacing w:val="-6"/>
          <w:sz w:val="32"/>
          <w:szCs w:val="32"/>
        </w:rPr>
        <w:t>示范村一次考核不合格督促整改，扣</w:t>
      </w:r>
      <w:r>
        <w:rPr>
          <w:rFonts w:eastAsia="仿宋_GB2312"/>
          <w:color w:val="000000"/>
          <w:spacing w:val="-6"/>
          <w:sz w:val="32"/>
          <w:szCs w:val="32"/>
        </w:rPr>
        <w:t>3</w:t>
      </w:r>
      <w:r>
        <w:rPr>
          <w:rFonts w:hint="eastAsia" w:eastAsia="仿宋_GB2312" w:cs="仿宋_GB2312"/>
          <w:color w:val="000000"/>
          <w:spacing w:val="-6"/>
          <w:sz w:val="32"/>
          <w:szCs w:val="32"/>
        </w:rPr>
        <w:t>个月示范村奖励；</w:t>
      </w:r>
      <w:r>
        <w:rPr>
          <w:rFonts w:hint="eastAsia" w:eastAsia="仿宋_GB2312" w:cs="仿宋_GB2312"/>
          <w:spacing w:val="-6"/>
          <w:sz w:val="32"/>
          <w:szCs w:val="32"/>
        </w:rPr>
        <w:t>两次考核不合格取消示范村称号，扣除全年示范村奖励；取消结果由市农村垃圾分类办下文通报。</w:t>
      </w:r>
    </w:p>
    <w:p>
      <w:pPr>
        <w:spacing w:line="570" w:lineRule="exact"/>
        <w:ind w:firstLine="616" w:firstLineChars="200"/>
        <w:rPr>
          <w:rFonts w:eastAsia="仿宋_GB2312"/>
          <w:sz w:val="32"/>
          <w:szCs w:val="32"/>
        </w:rPr>
      </w:pPr>
      <w:r>
        <w:rPr>
          <w:rFonts w:hint="eastAsia" w:ascii="楷体_GB2312" w:eastAsia="楷体_GB2312"/>
          <w:spacing w:val="-6"/>
          <w:sz w:val="32"/>
          <w:szCs w:val="32"/>
        </w:rPr>
        <w:t>（三）</w:t>
      </w:r>
      <w:r>
        <w:rPr>
          <w:rFonts w:hint="eastAsia" w:ascii="楷体_GB2312" w:eastAsia="楷体_GB2312" w:cs="仿宋_GB2312"/>
          <w:spacing w:val="-6"/>
          <w:sz w:val="32"/>
          <w:szCs w:val="32"/>
        </w:rPr>
        <w:t>奖惩。</w:t>
      </w:r>
      <w:r>
        <w:rPr>
          <w:rFonts w:hint="eastAsia" w:eastAsia="仿宋_GB2312" w:cs="仿宋_GB2312"/>
          <w:spacing w:val="-6"/>
          <w:sz w:val="32"/>
          <w:szCs w:val="32"/>
        </w:rPr>
        <w:t>对通过确认的市本级农村生活垃圾分类处理示范村</w:t>
      </w:r>
      <w:r>
        <w:rPr>
          <w:rFonts w:hint="eastAsia" w:eastAsia="仿宋_GB2312"/>
          <w:spacing w:val="-6"/>
          <w:sz w:val="32"/>
          <w:szCs w:val="32"/>
        </w:rPr>
        <w:t>，</w:t>
      </w:r>
      <w:r>
        <w:rPr>
          <w:rFonts w:hint="eastAsia" w:eastAsia="仿宋_GB2312" w:cs="仿宋_GB2312"/>
          <w:spacing w:val="-6"/>
          <w:sz w:val="32"/>
          <w:szCs w:val="32"/>
        </w:rPr>
        <w:t>市财政将采取以奖代补的方式</w:t>
      </w:r>
      <w:r>
        <w:rPr>
          <w:rFonts w:hint="eastAsia" w:eastAsia="仿宋_GB2312" w:cs="仿宋_GB2312"/>
          <w:spacing w:val="-6"/>
          <w:sz w:val="32"/>
          <w:szCs w:val="32"/>
          <w:lang w:eastAsia="zh-CN"/>
        </w:rPr>
        <w:t>给予</w:t>
      </w:r>
      <w:r>
        <w:rPr>
          <w:rFonts w:hint="eastAsia" w:eastAsia="仿宋_GB2312" w:cs="仿宋_GB2312"/>
          <w:spacing w:val="-6"/>
          <w:sz w:val="32"/>
          <w:szCs w:val="32"/>
        </w:rPr>
        <w:t>奖励。奖励资金重点用于农村生活垃圾分类处理设施维护</w:t>
      </w:r>
      <w:r>
        <w:rPr>
          <w:rFonts w:hint="eastAsia" w:eastAsia="仿宋_GB2312"/>
          <w:spacing w:val="-6"/>
          <w:sz w:val="32"/>
          <w:szCs w:val="32"/>
        </w:rPr>
        <w:t>，</w:t>
      </w:r>
      <w:r>
        <w:rPr>
          <w:rFonts w:hint="eastAsia" w:eastAsia="仿宋_GB2312" w:cs="仿宋_GB2312"/>
          <w:spacing w:val="-6"/>
          <w:sz w:val="32"/>
          <w:szCs w:val="32"/>
        </w:rPr>
        <w:t>垃圾桶、清扫清运工具添置</w:t>
      </w:r>
      <w:r>
        <w:rPr>
          <w:rFonts w:hint="eastAsia" w:eastAsia="仿宋_GB2312"/>
          <w:spacing w:val="-6"/>
          <w:sz w:val="32"/>
          <w:szCs w:val="32"/>
        </w:rPr>
        <w:t>，</w:t>
      </w:r>
      <w:r>
        <w:rPr>
          <w:rFonts w:hint="eastAsia" w:eastAsia="仿宋_GB2312" w:cs="仿宋_GB2312"/>
          <w:spacing w:val="-6"/>
          <w:sz w:val="32"/>
          <w:szCs w:val="32"/>
        </w:rPr>
        <w:t>以及用于宣传、推广、奖惩等经费。</w:t>
      </w:r>
    </w:p>
    <w:p>
      <w:pPr>
        <w:spacing w:after="100" w:afterAutospacing="1" w:line="360" w:lineRule="exact"/>
        <w:rPr>
          <w:rFonts w:hint="eastAsia" w:eastAsia="方正小标宋简体"/>
          <w:color w:val="000000"/>
          <w:kern w:val="0"/>
          <w:sz w:val="36"/>
          <w:szCs w:val="36"/>
        </w:rPr>
      </w:pPr>
    </w:p>
    <w:p>
      <w:pPr>
        <w:spacing w:after="100" w:afterAutospacing="1" w:line="360" w:lineRule="exact"/>
        <w:rPr>
          <w:rFonts w:hint="eastAsia" w:eastAsia="方正小标宋简体"/>
          <w:color w:val="000000"/>
          <w:kern w:val="0"/>
          <w:sz w:val="36"/>
          <w:szCs w:val="36"/>
        </w:rPr>
      </w:pPr>
    </w:p>
    <w:p>
      <w:pPr>
        <w:spacing w:after="100" w:afterAutospacing="1" w:line="600" w:lineRule="exact"/>
        <w:jc w:val="center"/>
        <w:rPr>
          <w:rFonts w:hint="eastAsia" w:eastAsia="黑体"/>
          <w:color w:val="000000"/>
          <w:kern w:val="0"/>
          <w:sz w:val="36"/>
          <w:szCs w:val="36"/>
        </w:rPr>
      </w:pPr>
      <w:r>
        <w:rPr>
          <w:rFonts w:hint="eastAsia" w:eastAsia="黑体" w:cs="黑体"/>
          <w:color w:val="000000"/>
          <w:kern w:val="0"/>
          <w:sz w:val="36"/>
          <w:szCs w:val="36"/>
        </w:rPr>
        <w:t>义乌市农村生活垃圾分类示范村验收申报表</w:t>
      </w:r>
    </w:p>
    <w:p>
      <w:pPr>
        <w:spacing w:after="100" w:afterAutospacing="1" w:line="280" w:lineRule="exact"/>
        <w:rPr>
          <w:rFonts w:eastAsia="方正小标宋简体"/>
          <w:color w:val="000000"/>
          <w:kern w:val="0"/>
          <w:sz w:val="24"/>
        </w:rPr>
      </w:pPr>
      <w:r>
        <w:rPr>
          <w:color w:val="000000"/>
          <w:kern w:val="0"/>
          <w:sz w:val="24"/>
        </w:rPr>
        <w:t>____</w:t>
      </w:r>
      <w:r>
        <w:rPr>
          <w:rFonts w:hint="eastAsia" w:cs="宋体"/>
          <w:color w:val="000000"/>
          <w:kern w:val="0"/>
          <w:sz w:val="24"/>
        </w:rPr>
        <w:t>镇（街道）</w:t>
      </w:r>
      <w:r>
        <w:rPr>
          <w:color w:val="000000"/>
          <w:kern w:val="0"/>
          <w:sz w:val="24"/>
        </w:rPr>
        <w:t>_______</w:t>
      </w:r>
      <w:r>
        <w:rPr>
          <w:rFonts w:hint="eastAsia" w:cs="宋体"/>
          <w:color w:val="000000"/>
          <w:kern w:val="0"/>
          <w:sz w:val="24"/>
        </w:rPr>
        <w:t>村</w:t>
      </w:r>
    </w:p>
    <w:tbl>
      <w:tblPr>
        <w:tblStyle w:val="4"/>
        <w:tblW w:w="10662" w:type="dxa"/>
        <w:jc w:val="center"/>
        <w:tblLayout w:type="fixed"/>
        <w:tblCellMar>
          <w:top w:w="0" w:type="dxa"/>
          <w:left w:w="108" w:type="dxa"/>
          <w:bottom w:w="0" w:type="dxa"/>
          <w:right w:w="108" w:type="dxa"/>
        </w:tblCellMar>
      </w:tblPr>
      <w:tblGrid>
        <w:gridCol w:w="804"/>
        <w:gridCol w:w="4625"/>
        <w:gridCol w:w="456"/>
        <w:gridCol w:w="3552"/>
        <w:gridCol w:w="408"/>
        <w:gridCol w:w="396"/>
        <w:gridCol w:w="421"/>
      </w:tblGrid>
      <w:tr>
        <w:tblPrEx>
          <w:tblCellMar>
            <w:top w:w="0" w:type="dxa"/>
            <w:left w:w="108" w:type="dxa"/>
            <w:bottom w:w="0" w:type="dxa"/>
            <w:right w:w="108" w:type="dxa"/>
          </w:tblCellMar>
        </w:tblPrEx>
        <w:trPr>
          <w:trHeight w:val="511" w:hRule="atLeast"/>
          <w:jc w:val="center"/>
        </w:trPr>
        <w:tc>
          <w:tcPr>
            <w:tcW w:w="804" w:type="dxa"/>
            <w:tcBorders>
              <w:top w:val="single" w:color="000000" w:sz="4" w:space="0"/>
              <w:left w:val="single" w:color="000000" w:sz="4" w:space="0"/>
              <w:bottom w:val="single" w:color="000000" w:sz="4" w:space="0"/>
              <w:right w:val="single" w:color="000000" w:sz="4" w:space="0"/>
            </w:tcBorders>
            <w:noWrap/>
            <w:tcMar>
              <w:top w:w="28" w:type="dxa"/>
              <w:left w:w="57" w:type="dxa"/>
              <w:bottom w:w="28" w:type="dxa"/>
              <w:right w:w="57" w:type="dxa"/>
            </w:tcMar>
            <w:vAlign w:val="center"/>
          </w:tcPr>
          <w:p>
            <w:pPr>
              <w:widowControl/>
              <w:spacing w:line="240" w:lineRule="exact"/>
              <w:jc w:val="center"/>
              <w:rPr>
                <w:rFonts w:eastAsia="黑体"/>
                <w:color w:val="000000"/>
                <w:kern w:val="0"/>
                <w:sz w:val="24"/>
              </w:rPr>
            </w:pPr>
            <w:r>
              <w:rPr>
                <w:rFonts w:hint="eastAsia" w:eastAsia="黑体" w:cs="黑体"/>
                <w:color w:val="000000"/>
                <w:kern w:val="0"/>
                <w:sz w:val="24"/>
              </w:rPr>
              <w:t>项目</w:t>
            </w:r>
          </w:p>
        </w:tc>
        <w:tc>
          <w:tcPr>
            <w:tcW w:w="4625"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40" w:lineRule="exact"/>
              <w:jc w:val="center"/>
              <w:rPr>
                <w:rFonts w:eastAsia="黑体"/>
                <w:color w:val="000000"/>
                <w:kern w:val="0"/>
                <w:sz w:val="24"/>
              </w:rPr>
            </w:pPr>
            <w:r>
              <w:rPr>
                <w:rFonts w:hint="eastAsia" w:eastAsia="黑体" w:cs="黑体"/>
                <w:color w:val="000000"/>
                <w:kern w:val="0"/>
                <w:sz w:val="24"/>
              </w:rPr>
              <w:t>检查内容</w:t>
            </w:r>
          </w:p>
        </w:tc>
        <w:tc>
          <w:tcPr>
            <w:tcW w:w="456"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40" w:lineRule="exact"/>
              <w:jc w:val="center"/>
              <w:rPr>
                <w:rFonts w:eastAsia="黑体"/>
                <w:color w:val="000000"/>
                <w:kern w:val="0"/>
                <w:sz w:val="24"/>
              </w:rPr>
            </w:pPr>
            <w:r>
              <w:rPr>
                <w:rFonts w:hint="eastAsia" w:eastAsia="黑体" w:cs="黑体"/>
                <w:color w:val="000000"/>
                <w:kern w:val="0"/>
                <w:sz w:val="24"/>
              </w:rPr>
              <w:t>分值</w:t>
            </w:r>
          </w:p>
        </w:tc>
        <w:tc>
          <w:tcPr>
            <w:tcW w:w="3552"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40" w:lineRule="exact"/>
              <w:jc w:val="center"/>
              <w:rPr>
                <w:rFonts w:eastAsia="黑体"/>
                <w:color w:val="000000"/>
                <w:kern w:val="0"/>
                <w:sz w:val="24"/>
              </w:rPr>
            </w:pPr>
            <w:r>
              <w:rPr>
                <w:rFonts w:hint="eastAsia" w:eastAsia="黑体" w:cs="黑体"/>
                <w:color w:val="000000"/>
                <w:kern w:val="0"/>
                <w:sz w:val="24"/>
              </w:rPr>
              <w:t>扣分标准</w:t>
            </w:r>
          </w:p>
        </w:tc>
        <w:tc>
          <w:tcPr>
            <w:tcW w:w="408" w:type="dxa"/>
            <w:tcBorders>
              <w:top w:val="single" w:color="000000" w:sz="4" w:space="0"/>
              <w:left w:val="single" w:color="auto" w:sz="4" w:space="0"/>
              <w:bottom w:val="single" w:color="000000" w:sz="4" w:space="0"/>
              <w:right w:val="single" w:color="auto" w:sz="4" w:space="0"/>
            </w:tcBorders>
            <w:noWrap/>
            <w:tcMar>
              <w:top w:w="28" w:type="dxa"/>
              <w:left w:w="57" w:type="dxa"/>
              <w:bottom w:w="28" w:type="dxa"/>
              <w:right w:w="57" w:type="dxa"/>
            </w:tcMar>
            <w:vAlign w:val="center"/>
          </w:tcPr>
          <w:p>
            <w:pPr>
              <w:widowControl/>
              <w:spacing w:line="240" w:lineRule="exact"/>
              <w:jc w:val="center"/>
              <w:rPr>
                <w:rFonts w:eastAsia="黑体"/>
                <w:color w:val="000000"/>
                <w:kern w:val="0"/>
                <w:sz w:val="24"/>
              </w:rPr>
            </w:pPr>
            <w:r>
              <w:rPr>
                <w:rFonts w:hint="eastAsia" w:eastAsia="黑体" w:cs="黑体"/>
                <w:color w:val="000000"/>
                <w:kern w:val="0"/>
                <w:sz w:val="24"/>
              </w:rPr>
              <w:t>自评</w:t>
            </w:r>
          </w:p>
        </w:tc>
        <w:tc>
          <w:tcPr>
            <w:tcW w:w="396" w:type="dxa"/>
            <w:tcBorders>
              <w:top w:val="single" w:color="000000" w:sz="4" w:space="0"/>
              <w:left w:val="single" w:color="auto" w:sz="4" w:space="0"/>
              <w:bottom w:val="single" w:color="000000" w:sz="4" w:space="0"/>
              <w:right w:val="single" w:color="auto" w:sz="4" w:space="0"/>
            </w:tcBorders>
            <w:noWrap/>
            <w:vAlign w:val="center"/>
          </w:tcPr>
          <w:p>
            <w:pPr>
              <w:widowControl/>
              <w:spacing w:line="240" w:lineRule="exact"/>
              <w:jc w:val="center"/>
              <w:rPr>
                <w:rFonts w:eastAsia="黑体"/>
                <w:color w:val="000000"/>
                <w:kern w:val="0"/>
                <w:sz w:val="24"/>
              </w:rPr>
            </w:pPr>
            <w:r>
              <w:rPr>
                <w:rFonts w:hint="eastAsia" w:eastAsia="黑体" w:cs="黑体"/>
                <w:color w:val="000000"/>
                <w:kern w:val="0"/>
                <w:sz w:val="24"/>
              </w:rPr>
              <w:t>复审</w:t>
            </w:r>
          </w:p>
        </w:tc>
        <w:tc>
          <w:tcPr>
            <w:tcW w:w="421" w:type="dxa"/>
            <w:tcBorders>
              <w:top w:val="single" w:color="000000" w:sz="4" w:space="0"/>
              <w:left w:val="single" w:color="auto" w:sz="4" w:space="0"/>
              <w:bottom w:val="single" w:color="000000" w:sz="4" w:space="0"/>
              <w:right w:val="single" w:color="000000" w:sz="4" w:space="0"/>
            </w:tcBorders>
            <w:noWrap/>
            <w:vAlign w:val="center"/>
          </w:tcPr>
          <w:p>
            <w:pPr>
              <w:widowControl/>
              <w:spacing w:line="240" w:lineRule="exact"/>
              <w:jc w:val="center"/>
              <w:rPr>
                <w:rFonts w:eastAsia="黑体"/>
                <w:color w:val="000000"/>
                <w:kern w:val="0"/>
                <w:sz w:val="24"/>
              </w:rPr>
            </w:pPr>
            <w:r>
              <w:rPr>
                <w:rFonts w:hint="eastAsia" w:eastAsia="黑体" w:cs="黑体"/>
                <w:color w:val="000000"/>
                <w:kern w:val="0"/>
                <w:sz w:val="24"/>
              </w:rPr>
              <w:t>验收</w:t>
            </w:r>
          </w:p>
        </w:tc>
      </w:tr>
      <w:tr>
        <w:tblPrEx>
          <w:tblCellMar>
            <w:top w:w="0" w:type="dxa"/>
            <w:left w:w="108" w:type="dxa"/>
            <w:bottom w:w="0" w:type="dxa"/>
            <w:right w:w="108" w:type="dxa"/>
          </w:tblCellMar>
        </w:tblPrEx>
        <w:trPr>
          <w:trHeight w:val="981" w:hRule="exact"/>
          <w:jc w:val="center"/>
        </w:trPr>
        <w:tc>
          <w:tcPr>
            <w:tcW w:w="804" w:type="dxa"/>
            <w:vMerge w:val="restart"/>
            <w:tcBorders>
              <w:top w:val="single" w:color="000000" w:sz="4" w:space="0"/>
              <w:left w:val="single" w:color="000000" w:sz="4" w:space="0"/>
              <w:right w:val="single" w:color="000000" w:sz="4" w:space="0"/>
            </w:tcBorders>
            <w:noWrap/>
            <w:tcMar>
              <w:top w:w="28" w:type="dxa"/>
              <w:left w:w="57" w:type="dxa"/>
              <w:bottom w:w="28" w:type="dxa"/>
              <w:right w:w="57" w:type="dxa"/>
            </w:tcMar>
            <w:vAlign w:val="center"/>
          </w:tcPr>
          <w:p>
            <w:pPr>
              <w:widowControl/>
              <w:spacing w:line="220" w:lineRule="exact"/>
              <w:jc w:val="center"/>
              <w:rPr>
                <w:rFonts w:eastAsia="仿宋_GB2312"/>
                <w:color w:val="000000"/>
                <w:kern w:val="0"/>
              </w:rPr>
            </w:pPr>
            <w:r>
              <w:rPr>
                <w:rFonts w:hint="eastAsia" w:eastAsia="仿宋_GB2312" w:cs="仿宋_GB2312"/>
                <w:color w:val="000000"/>
                <w:kern w:val="0"/>
              </w:rPr>
              <w:t>组织</w:t>
            </w:r>
          </w:p>
          <w:p>
            <w:pPr>
              <w:widowControl/>
              <w:spacing w:line="220" w:lineRule="exact"/>
              <w:jc w:val="center"/>
              <w:rPr>
                <w:rFonts w:eastAsia="仿宋_GB2312"/>
                <w:color w:val="000000"/>
                <w:kern w:val="0"/>
              </w:rPr>
            </w:pPr>
            <w:r>
              <w:rPr>
                <w:rFonts w:hint="eastAsia" w:eastAsia="仿宋_GB2312" w:cs="仿宋_GB2312"/>
                <w:color w:val="000000"/>
                <w:kern w:val="0"/>
              </w:rPr>
              <w:t>管理</w:t>
            </w:r>
          </w:p>
          <w:p>
            <w:pPr>
              <w:widowControl/>
              <w:spacing w:line="220" w:lineRule="exact"/>
              <w:jc w:val="center"/>
              <w:rPr>
                <w:rFonts w:eastAsia="仿宋_GB2312"/>
                <w:color w:val="000000"/>
                <w:kern w:val="0"/>
              </w:rPr>
            </w:pPr>
            <w:r>
              <w:rPr>
                <w:rFonts w:hint="eastAsia" w:eastAsia="仿宋_GB2312" w:cs="仿宋_GB2312"/>
                <w:color w:val="000000"/>
                <w:kern w:val="0"/>
              </w:rPr>
              <w:t>︵</w:t>
            </w:r>
          </w:p>
          <w:p>
            <w:pPr>
              <w:widowControl/>
              <w:spacing w:line="220" w:lineRule="exact"/>
              <w:jc w:val="center"/>
              <w:rPr>
                <w:rFonts w:eastAsia="仿宋_GB2312"/>
                <w:color w:val="000000"/>
                <w:kern w:val="0"/>
              </w:rPr>
            </w:pPr>
            <w:r>
              <w:rPr>
                <w:rFonts w:eastAsia="仿宋_GB2312"/>
                <w:color w:val="000000"/>
                <w:kern w:val="0"/>
              </w:rPr>
              <w:t>15</w:t>
            </w:r>
            <w:r>
              <w:rPr>
                <w:rFonts w:hint="eastAsia" w:eastAsia="仿宋_GB2312" w:cs="仿宋_GB2312"/>
                <w:color w:val="000000"/>
                <w:kern w:val="0"/>
              </w:rPr>
              <w:t>分</w:t>
            </w:r>
          </w:p>
          <w:p>
            <w:pPr>
              <w:widowControl/>
              <w:spacing w:line="220" w:lineRule="exact"/>
              <w:jc w:val="center"/>
              <w:rPr>
                <w:rFonts w:eastAsia="仿宋_GB2312"/>
                <w:color w:val="000000"/>
                <w:kern w:val="0"/>
              </w:rPr>
            </w:pPr>
            <w:r>
              <w:rPr>
                <w:rFonts w:hint="eastAsia" w:eastAsia="仿宋_GB2312" w:cs="仿宋_GB2312"/>
                <w:color w:val="000000"/>
                <w:kern w:val="0"/>
              </w:rPr>
              <w:t>︶</w:t>
            </w:r>
          </w:p>
        </w:tc>
        <w:tc>
          <w:tcPr>
            <w:tcW w:w="4625"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党建</w:t>
            </w:r>
            <w:r>
              <w:rPr>
                <w:rFonts w:eastAsia="仿宋_GB2312"/>
                <w:color w:val="000000"/>
                <w:kern w:val="0"/>
              </w:rPr>
              <w:t>+</w:t>
            </w:r>
            <w:r>
              <w:rPr>
                <w:rFonts w:hint="eastAsia" w:eastAsia="仿宋_GB2312" w:cs="仿宋_GB2312"/>
                <w:color w:val="000000"/>
                <w:kern w:val="0"/>
              </w:rPr>
              <w:t>垃圾分类工作落实，村级组织垃圾分类机构健全，配备有专门的管理、监督和考核人员，分拣员考核制度落实，村规民约中有关生活垃圾处理条款详细、具体、可操作。</w:t>
            </w:r>
          </w:p>
        </w:tc>
        <w:tc>
          <w:tcPr>
            <w:tcW w:w="456"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jc w:val="center"/>
              <w:rPr>
                <w:rFonts w:eastAsia="仿宋_GB2312"/>
                <w:color w:val="000000"/>
                <w:kern w:val="0"/>
              </w:rPr>
            </w:pPr>
            <w:r>
              <w:rPr>
                <w:rFonts w:eastAsia="仿宋_GB2312"/>
                <w:color w:val="000000"/>
                <w:kern w:val="0"/>
              </w:rPr>
              <w:t>8</w:t>
            </w:r>
          </w:p>
        </w:tc>
        <w:tc>
          <w:tcPr>
            <w:tcW w:w="3552"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党员联系户牌未悬挂的扣</w:t>
            </w:r>
            <w:r>
              <w:rPr>
                <w:rFonts w:eastAsia="仿宋_GB2312"/>
                <w:color w:val="000000"/>
                <w:kern w:val="0"/>
              </w:rPr>
              <w:t>5</w:t>
            </w:r>
            <w:r>
              <w:rPr>
                <w:rFonts w:hint="eastAsia" w:eastAsia="仿宋_GB2312" w:cs="仿宋_GB2312"/>
                <w:color w:val="000000"/>
                <w:kern w:val="0"/>
              </w:rPr>
              <w:t>分，每缺一项扣</w:t>
            </w:r>
            <w:r>
              <w:rPr>
                <w:rFonts w:eastAsia="仿宋_GB2312"/>
                <w:color w:val="000000"/>
                <w:kern w:val="0"/>
              </w:rPr>
              <w:t>2</w:t>
            </w:r>
            <w:r>
              <w:rPr>
                <w:rFonts w:hint="eastAsia" w:eastAsia="仿宋_GB2312" w:cs="仿宋_GB2312"/>
                <w:color w:val="000000"/>
                <w:kern w:val="0"/>
              </w:rPr>
              <w:t>分</w:t>
            </w:r>
          </w:p>
        </w:tc>
        <w:tc>
          <w:tcPr>
            <w:tcW w:w="408" w:type="dxa"/>
            <w:tcBorders>
              <w:top w:val="single" w:color="000000" w:sz="4" w:space="0"/>
              <w:left w:val="single" w:color="auto" w:sz="4" w:space="0"/>
              <w:bottom w:val="single" w:color="000000" w:sz="4" w:space="0"/>
              <w:right w:val="single" w:color="auto" w:sz="4" w:space="0"/>
            </w:tcBorders>
            <w:noWrap/>
            <w:tcMar>
              <w:top w:w="28" w:type="dxa"/>
              <w:left w:w="57" w:type="dxa"/>
              <w:bottom w:w="28" w:type="dxa"/>
              <w:right w:w="57" w:type="dxa"/>
            </w:tcMar>
            <w:vAlign w:val="center"/>
          </w:tcPr>
          <w:p>
            <w:pPr>
              <w:widowControl/>
              <w:spacing w:line="220" w:lineRule="exact"/>
              <w:jc w:val="center"/>
              <w:rPr>
                <w:rFonts w:eastAsia="仿宋_GB2312"/>
                <w:color w:val="000000"/>
                <w:kern w:val="0"/>
              </w:rPr>
            </w:pPr>
          </w:p>
        </w:tc>
        <w:tc>
          <w:tcPr>
            <w:tcW w:w="396" w:type="dxa"/>
            <w:tcBorders>
              <w:top w:val="single" w:color="000000" w:sz="4" w:space="0"/>
              <w:left w:val="single" w:color="auto" w:sz="4" w:space="0"/>
              <w:bottom w:val="single" w:color="000000" w:sz="4" w:space="0"/>
              <w:right w:val="single" w:color="auto" w:sz="4" w:space="0"/>
            </w:tcBorders>
            <w:noWrap/>
            <w:vAlign w:val="center"/>
          </w:tcPr>
          <w:p>
            <w:pPr>
              <w:widowControl/>
              <w:spacing w:line="220" w:lineRule="exact"/>
              <w:jc w:val="center"/>
              <w:rPr>
                <w:rFonts w:eastAsia="仿宋_GB2312"/>
                <w:color w:val="000000"/>
                <w:kern w:val="0"/>
              </w:rPr>
            </w:pPr>
          </w:p>
        </w:tc>
        <w:tc>
          <w:tcPr>
            <w:tcW w:w="421" w:type="dxa"/>
            <w:tcBorders>
              <w:top w:val="single" w:color="000000" w:sz="4" w:space="0"/>
              <w:left w:val="single" w:color="auto"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r>
      <w:tr>
        <w:tblPrEx>
          <w:tblCellMar>
            <w:top w:w="0" w:type="dxa"/>
            <w:left w:w="108" w:type="dxa"/>
            <w:bottom w:w="0" w:type="dxa"/>
            <w:right w:w="108" w:type="dxa"/>
          </w:tblCellMar>
        </w:tblPrEx>
        <w:trPr>
          <w:trHeight w:val="301" w:hRule="atLeast"/>
          <w:jc w:val="center"/>
        </w:trPr>
        <w:tc>
          <w:tcPr>
            <w:tcW w:w="804" w:type="dxa"/>
            <w:vMerge w:val="continue"/>
            <w:tcBorders>
              <w:left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c>
          <w:tcPr>
            <w:tcW w:w="4625" w:type="dxa"/>
            <w:tcBorders>
              <w:top w:val="single" w:color="000000" w:sz="4" w:space="0"/>
              <w:left w:val="nil"/>
              <w:bottom w:val="single" w:color="auto"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落实每月垃圾分类监督、考核、评比。</w:t>
            </w:r>
          </w:p>
        </w:tc>
        <w:tc>
          <w:tcPr>
            <w:tcW w:w="456" w:type="dxa"/>
            <w:tcBorders>
              <w:top w:val="single" w:color="000000" w:sz="4" w:space="0"/>
              <w:left w:val="nil"/>
              <w:bottom w:val="single" w:color="auto" w:sz="4" w:space="0"/>
              <w:right w:val="single" w:color="000000" w:sz="4" w:space="0"/>
            </w:tcBorders>
            <w:noWrap/>
            <w:tcMar>
              <w:top w:w="28" w:type="dxa"/>
              <w:left w:w="57" w:type="dxa"/>
              <w:bottom w:w="28" w:type="dxa"/>
              <w:right w:w="57" w:type="dxa"/>
            </w:tcMar>
            <w:vAlign w:val="center"/>
          </w:tcPr>
          <w:p>
            <w:pPr>
              <w:widowControl/>
              <w:spacing w:line="200" w:lineRule="exact"/>
              <w:jc w:val="center"/>
              <w:rPr>
                <w:rFonts w:eastAsia="仿宋_GB2312"/>
                <w:color w:val="000000"/>
                <w:kern w:val="0"/>
              </w:rPr>
            </w:pPr>
            <w:r>
              <w:rPr>
                <w:rFonts w:eastAsia="仿宋_GB2312"/>
                <w:color w:val="000000"/>
                <w:kern w:val="0"/>
              </w:rPr>
              <w:t>5</w:t>
            </w:r>
          </w:p>
        </w:tc>
        <w:tc>
          <w:tcPr>
            <w:tcW w:w="3552" w:type="dxa"/>
            <w:tcBorders>
              <w:top w:val="single" w:color="000000" w:sz="4" w:space="0"/>
              <w:left w:val="nil"/>
              <w:bottom w:val="single" w:color="auto"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每项工作未落实扣</w:t>
            </w:r>
            <w:r>
              <w:rPr>
                <w:rFonts w:eastAsia="仿宋_GB2312"/>
                <w:color w:val="000000"/>
                <w:kern w:val="0"/>
              </w:rPr>
              <w:t>2</w:t>
            </w:r>
            <w:r>
              <w:rPr>
                <w:rFonts w:hint="eastAsia" w:eastAsia="仿宋_GB2312" w:cs="仿宋_GB2312"/>
                <w:color w:val="000000"/>
                <w:kern w:val="0"/>
              </w:rPr>
              <w:t>分</w:t>
            </w:r>
          </w:p>
        </w:tc>
        <w:tc>
          <w:tcPr>
            <w:tcW w:w="408" w:type="dxa"/>
            <w:tcBorders>
              <w:top w:val="single" w:color="000000" w:sz="4" w:space="0"/>
              <w:left w:val="single" w:color="auto" w:sz="4" w:space="0"/>
              <w:bottom w:val="single" w:color="auto" w:sz="4" w:space="0"/>
              <w:right w:val="single" w:color="auto" w:sz="4" w:space="0"/>
            </w:tcBorders>
            <w:noWrap/>
            <w:tcMar>
              <w:top w:w="28" w:type="dxa"/>
              <w:left w:w="57" w:type="dxa"/>
              <w:bottom w:w="28" w:type="dxa"/>
              <w:right w:w="57" w:type="dxa"/>
            </w:tcMar>
            <w:vAlign w:val="center"/>
          </w:tcPr>
          <w:p>
            <w:pPr>
              <w:widowControl/>
              <w:spacing w:line="220" w:lineRule="exact"/>
              <w:jc w:val="center"/>
              <w:rPr>
                <w:rFonts w:eastAsia="仿宋_GB2312"/>
                <w:color w:val="000000"/>
                <w:kern w:val="0"/>
              </w:rPr>
            </w:pPr>
          </w:p>
        </w:tc>
        <w:tc>
          <w:tcPr>
            <w:tcW w:w="396" w:type="dxa"/>
            <w:tcBorders>
              <w:top w:val="single" w:color="000000" w:sz="4" w:space="0"/>
              <w:left w:val="single" w:color="auto" w:sz="4" w:space="0"/>
              <w:bottom w:val="single" w:color="auto" w:sz="4" w:space="0"/>
              <w:right w:val="single" w:color="auto" w:sz="4" w:space="0"/>
            </w:tcBorders>
            <w:noWrap/>
            <w:vAlign w:val="center"/>
          </w:tcPr>
          <w:p>
            <w:pPr>
              <w:widowControl/>
              <w:spacing w:line="220" w:lineRule="exact"/>
              <w:jc w:val="center"/>
              <w:rPr>
                <w:rFonts w:eastAsia="仿宋_GB2312"/>
                <w:color w:val="000000"/>
                <w:kern w:val="0"/>
              </w:rPr>
            </w:pPr>
          </w:p>
        </w:tc>
        <w:tc>
          <w:tcPr>
            <w:tcW w:w="421" w:type="dxa"/>
            <w:tcBorders>
              <w:top w:val="single" w:color="000000" w:sz="4" w:space="0"/>
              <w:left w:val="single" w:color="auto" w:sz="4" w:space="0"/>
              <w:bottom w:val="single" w:color="auto" w:sz="4" w:space="0"/>
              <w:right w:val="single" w:color="000000" w:sz="4" w:space="0"/>
            </w:tcBorders>
            <w:noWrap/>
            <w:vAlign w:val="center"/>
          </w:tcPr>
          <w:p>
            <w:pPr>
              <w:widowControl/>
              <w:spacing w:line="220" w:lineRule="exact"/>
              <w:jc w:val="center"/>
              <w:rPr>
                <w:rFonts w:eastAsia="仿宋_GB2312"/>
                <w:color w:val="000000"/>
                <w:kern w:val="0"/>
              </w:rPr>
            </w:pPr>
          </w:p>
        </w:tc>
      </w:tr>
      <w:tr>
        <w:tblPrEx>
          <w:tblCellMar>
            <w:top w:w="0" w:type="dxa"/>
            <w:left w:w="108" w:type="dxa"/>
            <w:bottom w:w="0" w:type="dxa"/>
            <w:right w:w="108" w:type="dxa"/>
          </w:tblCellMar>
        </w:tblPrEx>
        <w:trPr>
          <w:trHeight w:val="460" w:hRule="atLeast"/>
          <w:jc w:val="center"/>
        </w:trPr>
        <w:tc>
          <w:tcPr>
            <w:tcW w:w="804" w:type="dxa"/>
            <w:vMerge w:val="continue"/>
            <w:tcBorders>
              <w:left w:val="single" w:color="000000"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c>
          <w:tcPr>
            <w:tcW w:w="4625" w:type="dxa"/>
            <w:tcBorders>
              <w:top w:val="single" w:color="auto" w:sz="4" w:space="0"/>
              <w:left w:val="nil"/>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设置并及时</w:t>
            </w:r>
            <w:r>
              <w:rPr>
                <w:rFonts w:hint="eastAsia" w:ascii="仿宋_GB2312" w:eastAsia="仿宋_GB2312" w:cs="仿宋_GB2312"/>
                <w:color w:val="000000"/>
                <w:kern w:val="0"/>
              </w:rPr>
              <w:t>更新</w:t>
            </w:r>
            <w:r>
              <w:rPr>
                <w:rFonts w:hint="eastAsia" w:ascii="仿宋_GB2312" w:eastAsia="仿宋_GB2312"/>
                <w:color w:val="000000"/>
                <w:kern w:val="0"/>
              </w:rPr>
              <w:t>“</w:t>
            </w:r>
            <w:r>
              <w:rPr>
                <w:rFonts w:hint="eastAsia" w:ascii="仿宋_GB2312" w:eastAsia="仿宋_GB2312" w:cs="仿宋_GB2312"/>
                <w:color w:val="000000"/>
                <w:kern w:val="0"/>
              </w:rPr>
              <w:t>荣辱榜</w:t>
            </w:r>
            <w:r>
              <w:rPr>
                <w:rFonts w:hint="eastAsia" w:ascii="仿宋_GB2312" w:eastAsia="仿宋_GB2312"/>
                <w:color w:val="000000"/>
                <w:kern w:val="0"/>
              </w:rPr>
              <w:t>”</w:t>
            </w:r>
            <w:r>
              <w:rPr>
                <w:rFonts w:hint="eastAsia" w:ascii="仿宋_GB2312" w:eastAsia="仿宋_GB2312" w:cs="仿宋_GB2312"/>
                <w:color w:val="000000"/>
                <w:kern w:val="0"/>
              </w:rPr>
              <w:t>，榜</w:t>
            </w:r>
            <w:r>
              <w:rPr>
                <w:rFonts w:hint="eastAsia" w:eastAsia="仿宋_GB2312" w:cs="仿宋_GB2312"/>
                <w:color w:val="000000"/>
                <w:kern w:val="0"/>
              </w:rPr>
              <w:t>上信息真实无虚。</w:t>
            </w:r>
          </w:p>
        </w:tc>
        <w:tc>
          <w:tcPr>
            <w:tcW w:w="456" w:type="dxa"/>
            <w:tcBorders>
              <w:top w:val="single" w:color="auto" w:sz="4" w:space="0"/>
              <w:left w:val="nil"/>
              <w:right w:val="single" w:color="000000" w:sz="4" w:space="0"/>
            </w:tcBorders>
            <w:noWrap/>
            <w:tcMar>
              <w:top w:w="28" w:type="dxa"/>
              <w:left w:w="57" w:type="dxa"/>
              <w:bottom w:w="28" w:type="dxa"/>
              <w:right w:w="57" w:type="dxa"/>
            </w:tcMar>
            <w:vAlign w:val="center"/>
          </w:tcPr>
          <w:p>
            <w:pPr>
              <w:widowControl/>
              <w:spacing w:line="200" w:lineRule="exact"/>
              <w:jc w:val="center"/>
              <w:rPr>
                <w:rFonts w:eastAsia="仿宋_GB2312"/>
                <w:color w:val="000000"/>
                <w:kern w:val="0"/>
              </w:rPr>
            </w:pPr>
            <w:r>
              <w:rPr>
                <w:rFonts w:eastAsia="仿宋_GB2312"/>
                <w:color w:val="000000"/>
                <w:kern w:val="0"/>
              </w:rPr>
              <w:t>2</w:t>
            </w:r>
          </w:p>
        </w:tc>
        <w:tc>
          <w:tcPr>
            <w:tcW w:w="3552" w:type="dxa"/>
            <w:tcBorders>
              <w:top w:val="single" w:color="auto" w:sz="4" w:space="0"/>
              <w:left w:val="nil"/>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信息不全、不真扣</w:t>
            </w:r>
            <w:r>
              <w:rPr>
                <w:rFonts w:eastAsia="仿宋_GB2312"/>
                <w:color w:val="000000"/>
                <w:kern w:val="0"/>
              </w:rPr>
              <w:t>1</w:t>
            </w:r>
            <w:r>
              <w:rPr>
                <w:rFonts w:hint="eastAsia" w:eastAsia="仿宋_GB2312" w:cs="仿宋_GB2312"/>
                <w:color w:val="000000"/>
                <w:kern w:val="0"/>
              </w:rPr>
              <w:t>分，未设置荣辱榜扣</w:t>
            </w:r>
            <w:r>
              <w:rPr>
                <w:rFonts w:eastAsia="仿宋_GB2312"/>
                <w:color w:val="000000"/>
                <w:kern w:val="0"/>
              </w:rPr>
              <w:t>2</w:t>
            </w:r>
            <w:r>
              <w:rPr>
                <w:rFonts w:hint="eastAsia" w:eastAsia="仿宋_GB2312" w:cs="仿宋_GB2312"/>
                <w:color w:val="000000"/>
                <w:kern w:val="0"/>
              </w:rPr>
              <w:t>分</w:t>
            </w:r>
          </w:p>
        </w:tc>
        <w:tc>
          <w:tcPr>
            <w:tcW w:w="408" w:type="dxa"/>
            <w:tcBorders>
              <w:top w:val="single" w:color="auto" w:sz="4" w:space="0"/>
              <w:left w:val="single" w:color="auto" w:sz="4" w:space="0"/>
              <w:right w:val="single" w:color="auto" w:sz="4" w:space="0"/>
            </w:tcBorders>
            <w:noWrap/>
            <w:tcMar>
              <w:top w:w="28" w:type="dxa"/>
              <w:left w:w="57" w:type="dxa"/>
              <w:bottom w:w="28" w:type="dxa"/>
              <w:right w:w="57" w:type="dxa"/>
            </w:tcMar>
            <w:vAlign w:val="center"/>
          </w:tcPr>
          <w:p>
            <w:pPr>
              <w:widowControl/>
              <w:spacing w:line="220" w:lineRule="exact"/>
              <w:jc w:val="center"/>
              <w:rPr>
                <w:rFonts w:eastAsia="仿宋_GB2312"/>
                <w:color w:val="000000"/>
                <w:kern w:val="0"/>
              </w:rPr>
            </w:pPr>
          </w:p>
        </w:tc>
        <w:tc>
          <w:tcPr>
            <w:tcW w:w="396" w:type="dxa"/>
            <w:tcBorders>
              <w:top w:val="single" w:color="auto" w:sz="4" w:space="0"/>
              <w:left w:val="single" w:color="auto" w:sz="4" w:space="0"/>
              <w:right w:val="single" w:color="auto" w:sz="4" w:space="0"/>
            </w:tcBorders>
            <w:noWrap/>
            <w:vAlign w:val="center"/>
          </w:tcPr>
          <w:p>
            <w:pPr>
              <w:widowControl/>
              <w:spacing w:line="220" w:lineRule="exact"/>
              <w:jc w:val="center"/>
              <w:rPr>
                <w:rFonts w:eastAsia="仿宋_GB2312"/>
                <w:color w:val="000000"/>
                <w:kern w:val="0"/>
              </w:rPr>
            </w:pPr>
          </w:p>
        </w:tc>
        <w:tc>
          <w:tcPr>
            <w:tcW w:w="421" w:type="dxa"/>
            <w:tcBorders>
              <w:top w:val="single" w:color="auto" w:sz="4" w:space="0"/>
              <w:left w:val="single" w:color="auto" w:sz="4" w:space="0"/>
              <w:right w:val="single" w:color="000000" w:sz="4" w:space="0"/>
            </w:tcBorders>
            <w:noWrap/>
            <w:vAlign w:val="center"/>
          </w:tcPr>
          <w:p>
            <w:pPr>
              <w:widowControl/>
              <w:spacing w:line="220" w:lineRule="exact"/>
              <w:jc w:val="center"/>
              <w:rPr>
                <w:rFonts w:eastAsia="仿宋_GB2312"/>
                <w:color w:val="000000"/>
                <w:kern w:val="0"/>
              </w:rPr>
            </w:pPr>
          </w:p>
        </w:tc>
      </w:tr>
      <w:tr>
        <w:tblPrEx>
          <w:tblCellMar>
            <w:top w:w="0" w:type="dxa"/>
            <w:left w:w="108" w:type="dxa"/>
            <w:bottom w:w="0" w:type="dxa"/>
            <w:right w:w="108" w:type="dxa"/>
          </w:tblCellMar>
        </w:tblPrEx>
        <w:trPr>
          <w:trHeight w:val="616" w:hRule="atLeast"/>
          <w:jc w:val="center"/>
        </w:trPr>
        <w:tc>
          <w:tcPr>
            <w:tcW w:w="804" w:type="dxa"/>
            <w:vMerge w:val="restart"/>
            <w:tcBorders>
              <w:top w:val="single" w:color="000000" w:sz="4" w:space="0"/>
              <w:left w:val="single" w:color="000000" w:sz="4" w:space="0"/>
              <w:right w:val="single" w:color="000000" w:sz="4" w:space="0"/>
            </w:tcBorders>
            <w:noWrap/>
            <w:vAlign w:val="center"/>
          </w:tcPr>
          <w:p>
            <w:pPr>
              <w:widowControl/>
              <w:spacing w:line="220" w:lineRule="exact"/>
              <w:jc w:val="center"/>
              <w:rPr>
                <w:rFonts w:eastAsia="仿宋_GB2312"/>
                <w:color w:val="000000"/>
                <w:kern w:val="0"/>
              </w:rPr>
            </w:pPr>
            <w:r>
              <w:rPr>
                <w:rFonts w:hint="eastAsia" w:eastAsia="仿宋_GB2312" w:cs="仿宋_GB2312"/>
                <w:color w:val="000000"/>
                <w:kern w:val="0"/>
              </w:rPr>
              <w:t>宣传</w:t>
            </w:r>
          </w:p>
          <w:p>
            <w:pPr>
              <w:widowControl/>
              <w:spacing w:line="220" w:lineRule="exact"/>
              <w:jc w:val="center"/>
              <w:rPr>
                <w:rFonts w:eastAsia="仿宋_GB2312"/>
                <w:color w:val="000000"/>
                <w:kern w:val="0"/>
              </w:rPr>
            </w:pPr>
            <w:r>
              <w:rPr>
                <w:rFonts w:hint="eastAsia" w:eastAsia="仿宋_GB2312" w:cs="仿宋_GB2312"/>
                <w:color w:val="000000"/>
                <w:kern w:val="0"/>
              </w:rPr>
              <w:t>发动</w:t>
            </w:r>
          </w:p>
          <w:p>
            <w:pPr>
              <w:widowControl/>
              <w:spacing w:line="220" w:lineRule="exact"/>
              <w:jc w:val="center"/>
              <w:rPr>
                <w:rFonts w:eastAsia="仿宋_GB2312"/>
                <w:color w:val="000000"/>
                <w:kern w:val="0"/>
              </w:rPr>
            </w:pPr>
            <w:r>
              <w:rPr>
                <w:rFonts w:hint="eastAsia" w:eastAsia="仿宋_GB2312" w:cs="仿宋_GB2312"/>
                <w:color w:val="000000"/>
                <w:kern w:val="0"/>
              </w:rPr>
              <w:t>︵</w:t>
            </w:r>
          </w:p>
          <w:p>
            <w:pPr>
              <w:widowControl/>
              <w:spacing w:line="220" w:lineRule="exact"/>
              <w:jc w:val="center"/>
              <w:rPr>
                <w:rFonts w:eastAsia="仿宋_GB2312"/>
                <w:color w:val="000000"/>
                <w:kern w:val="0"/>
              </w:rPr>
            </w:pPr>
            <w:r>
              <w:rPr>
                <w:rFonts w:eastAsia="仿宋_GB2312"/>
                <w:color w:val="000000"/>
                <w:kern w:val="0"/>
              </w:rPr>
              <w:t>10</w:t>
            </w:r>
            <w:r>
              <w:rPr>
                <w:rFonts w:hint="eastAsia" w:eastAsia="仿宋_GB2312" w:cs="仿宋_GB2312"/>
                <w:color w:val="000000"/>
                <w:kern w:val="0"/>
              </w:rPr>
              <w:t>分</w:t>
            </w:r>
          </w:p>
          <w:p>
            <w:pPr>
              <w:widowControl/>
              <w:spacing w:line="220" w:lineRule="exact"/>
              <w:jc w:val="center"/>
              <w:rPr>
                <w:rFonts w:eastAsia="仿宋_GB2312"/>
                <w:color w:val="000000"/>
                <w:kern w:val="0"/>
              </w:rPr>
            </w:pPr>
            <w:r>
              <w:rPr>
                <w:rFonts w:hint="eastAsia" w:eastAsia="仿宋_GB2312" w:cs="仿宋_GB2312"/>
                <w:color w:val="000000"/>
                <w:kern w:val="0"/>
              </w:rPr>
              <w:t>︶</w:t>
            </w:r>
          </w:p>
        </w:tc>
        <w:tc>
          <w:tcPr>
            <w:tcW w:w="4625" w:type="dxa"/>
            <w:tcBorders>
              <w:top w:val="single" w:color="000000" w:sz="4" w:space="0"/>
              <w:left w:val="nil"/>
              <w:bottom w:val="single" w:color="auto"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rPr>
            </w:pPr>
            <w:r>
              <w:rPr>
                <w:rFonts w:hint="eastAsia" w:eastAsia="仿宋_GB2312" w:cs="仿宋_GB2312"/>
                <w:color w:val="000000"/>
                <w:kern w:val="0"/>
              </w:rPr>
              <w:t>经常组织村两委成员、党员、村民代表、妇女代表等四个层面组织垃圾分类工作会议，青年、妇委不定期组织开展宣传教育活动。</w:t>
            </w:r>
          </w:p>
        </w:tc>
        <w:tc>
          <w:tcPr>
            <w:tcW w:w="456" w:type="dxa"/>
            <w:tcBorders>
              <w:top w:val="single" w:color="000000" w:sz="4" w:space="0"/>
              <w:left w:val="nil"/>
              <w:bottom w:val="single" w:color="auto" w:sz="4" w:space="0"/>
              <w:right w:val="single" w:color="000000" w:sz="4" w:space="0"/>
            </w:tcBorders>
            <w:noWrap/>
            <w:tcMar>
              <w:top w:w="28" w:type="dxa"/>
              <w:left w:w="57" w:type="dxa"/>
              <w:bottom w:w="28" w:type="dxa"/>
              <w:right w:w="57" w:type="dxa"/>
            </w:tcMar>
            <w:vAlign w:val="center"/>
          </w:tcPr>
          <w:p>
            <w:pPr>
              <w:widowControl/>
              <w:spacing w:line="200" w:lineRule="exact"/>
              <w:jc w:val="center"/>
              <w:rPr>
                <w:rFonts w:eastAsia="仿宋_GB2312"/>
                <w:color w:val="000000"/>
                <w:kern w:val="0"/>
              </w:rPr>
            </w:pPr>
            <w:r>
              <w:rPr>
                <w:rFonts w:eastAsia="仿宋_GB2312"/>
                <w:color w:val="000000"/>
                <w:kern w:val="0"/>
              </w:rPr>
              <w:t>5</w:t>
            </w:r>
          </w:p>
        </w:tc>
        <w:tc>
          <w:tcPr>
            <w:tcW w:w="3552" w:type="dxa"/>
            <w:tcBorders>
              <w:top w:val="single" w:color="000000" w:sz="4" w:space="0"/>
              <w:left w:val="nil"/>
              <w:bottom w:val="single" w:color="auto"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垃圾分类工作会议组织每少一个层面扣</w:t>
            </w:r>
            <w:r>
              <w:rPr>
                <w:rFonts w:eastAsia="仿宋_GB2312"/>
                <w:color w:val="000000"/>
                <w:kern w:val="0"/>
              </w:rPr>
              <w:t>1</w:t>
            </w:r>
            <w:r>
              <w:rPr>
                <w:rFonts w:hint="eastAsia" w:eastAsia="仿宋_GB2312" w:cs="仿宋_GB2312"/>
                <w:color w:val="000000"/>
                <w:kern w:val="0"/>
              </w:rPr>
              <w:t>分，没有开展宣传教育活动扣</w:t>
            </w:r>
            <w:r>
              <w:rPr>
                <w:rFonts w:eastAsia="仿宋_GB2312"/>
                <w:color w:val="000000"/>
                <w:kern w:val="0"/>
              </w:rPr>
              <w:t>1</w:t>
            </w:r>
            <w:r>
              <w:rPr>
                <w:rFonts w:hint="eastAsia" w:eastAsia="仿宋_GB2312" w:cs="仿宋_GB2312"/>
                <w:color w:val="000000"/>
                <w:kern w:val="0"/>
              </w:rPr>
              <w:t>分</w:t>
            </w:r>
          </w:p>
        </w:tc>
        <w:tc>
          <w:tcPr>
            <w:tcW w:w="408" w:type="dxa"/>
            <w:tcBorders>
              <w:top w:val="single" w:color="000000" w:sz="4" w:space="0"/>
              <w:left w:val="single" w:color="auto" w:sz="4" w:space="0"/>
              <w:bottom w:val="single" w:color="auto" w:sz="4" w:space="0"/>
              <w:right w:val="single" w:color="auto" w:sz="4" w:space="0"/>
            </w:tcBorders>
            <w:noWrap/>
            <w:tcMar>
              <w:top w:w="28" w:type="dxa"/>
              <w:left w:w="57" w:type="dxa"/>
              <w:bottom w:w="28" w:type="dxa"/>
              <w:right w:w="57" w:type="dxa"/>
            </w:tcMar>
            <w:vAlign w:val="center"/>
          </w:tcPr>
          <w:p>
            <w:pPr>
              <w:widowControl/>
              <w:spacing w:line="220" w:lineRule="exact"/>
              <w:jc w:val="center"/>
              <w:rPr>
                <w:rFonts w:eastAsia="仿宋_GB2312"/>
                <w:color w:val="000000"/>
                <w:kern w:val="0"/>
              </w:rPr>
            </w:pPr>
          </w:p>
        </w:tc>
        <w:tc>
          <w:tcPr>
            <w:tcW w:w="396" w:type="dxa"/>
            <w:tcBorders>
              <w:top w:val="single" w:color="000000" w:sz="4" w:space="0"/>
              <w:left w:val="single" w:color="auto" w:sz="4" w:space="0"/>
              <w:bottom w:val="single" w:color="auto" w:sz="4" w:space="0"/>
              <w:right w:val="single" w:color="auto" w:sz="4" w:space="0"/>
            </w:tcBorders>
            <w:noWrap/>
            <w:vAlign w:val="center"/>
          </w:tcPr>
          <w:p>
            <w:pPr>
              <w:widowControl/>
              <w:spacing w:line="220" w:lineRule="exact"/>
              <w:jc w:val="center"/>
              <w:rPr>
                <w:rFonts w:eastAsia="仿宋_GB2312"/>
                <w:color w:val="000000"/>
                <w:kern w:val="0"/>
              </w:rPr>
            </w:pPr>
          </w:p>
        </w:tc>
        <w:tc>
          <w:tcPr>
            <w:tcW w:w="421" w:type="dxa"/>
            <w:tcBorders>
              <w:top w:val="single" w:color="000000" w:sz="4" w:space="0"/>
              <w:left w:val="single" w:color="auto" w:sz="4" w:space="0"/>
              <w:bottom w:val="single" w:color="auto" w:sz="4" w:space="0"/>
              <w:right w:val="single" w:color="000000" w:sz="4" w:space="0"/>
            </w:tcBorders>
            <w:noWrap/>
            <w:vAlign w:val="center"/>
          </w:tcPr>
          <w:p>
            <w:pPr>
              <w:widowControl/>
              <w:spacing w:line="220" w:lineRule="exact"/>
              <w:jc w:val="center"/>
              <w:rPr>
                <w:rFonts w:eastAsia="仿宋_GB2312"/>
                <w:color w:val="000000"/>
                <w:kern w:val="0"/>
              </w:rPr>
            </w:pPr>
          </w:p>
        </w:tc>
      </w:tr>
      <w:tr>
        <w:tblPrEx>
          <w:tblCellMar>
            <w:top w:w="0" w:type="dxa"/>
            <w:left w:w="108" w:type="dxa"/>
            <w:bottom w:w="0" w:type="dxa"/>
            <w:right w:w="108" w:type="dxa"/>
          </w:tblCellMar>
        </w:tblPrEx>
        <w:trPr>
          <w:trHeight w:val="773" w:hRule="atLeast"/>
          <w:jc w:val="center"/>
        </w:trPr>
        <w:tc>
          <w:tcPr>
            <w:tcW w:w="804" w:type="dxa"/>
            <w:vMerge w:val="continue"/>
            <w:tcBorders>
              <w:left w:val="single" w:color="000000" w:sz="4" w:space="0"/>
              <w:bottom w:val="single" w:color="auto" w:sz="4" w:space="0"/>
              <w:right w:val="single" w:color="000000" w:sz="4" w:space="0"/>
            </w:tcBorders>
            <w:noWrap/>
            <w:vAlign w:val="center"/>
          </w:tcPr>
          <w:p>
            <w:pPr>
              <w:widowControl/>
              <w:spacing w:line="220" w:lineRule="exact"/>
              <w:jc w:val="center"/>
              <w:rPr>
                <w:rFonts w:eastAsia="仿宋_GB2312"/>
                <w:color w:val="000000"/>
                <w:kern w:val="0"/>
              </w:rPr>
            </w:pPr>
          </w:p>
        </w:tc>
        <w:tc>
          <w:tcPr>
            <w:tcW w:w="4625" w:type="dxa"/>
            <w:tcBorders>
              <w:top w:val="single" w:color="auto" w:sz="4" w:space="0"/>
              <w:left w:val="nil"/>
              <w:bottom w:val="single" w:color="auto"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倡议书、宣传画、垃圾分类手册等宣传用品发放到户，垃圾分类公开栏更新及时，宣传氛围浓厚，农户垃圾分类知晓率达</w:t>
            </w:r>
            <w:r>
              <w:rPr>
                <w:rFonts w:eastAsia="仿宋_GB2312"/>
                <w:color w:val="000000"/>
                <w:kern w:val="0"/>
              </w:rPr>
              <w:t>100%</w:t>
            </w:r>
            <w:r>
              <w:rPr>
                <w:rFonts w:hint="eastAsia" w:eastAsia="仿宋_GB2312" w:cs="仿宋_GB2312"/>
                <w:color w:val="000000"/>
                <w:kern w:val="0"/>
              </w:rPr>
              <w:t>。</w:t>
            </w:r>
          </w:p>
        </w:tc>
        <w:tc>
          <w:tcPr>
            <w:tcW w:w="456" w:type="dxa"/>
            <w:tcBorders>
              <w:top w:val="single" w:color="auto" w:sz="4" w:space="0"/>
              <w:left w:val="nil"/>
              <w:bottom w:val="single" w:color="auto" w:sz="4" w:space="0"/>
              <w:right w:val="single" w:color="000000" w:sz="4" w:space="0"/>
            </w:tcBorders>
            <w:noWrap/>
            <w:tcMar>
              <w:top w:w="28" w:type="dxa"/>
              <w:left w:w="57" w:type="dxa"/>
              <w:bottom w:w="28" w:type="dxa"/>
              <w:right w:w="57" w:type="dxa"/>
            </w:tcMar>
            <w:vAlign w:val="center"/>
          </w:tcPr>
          <w:p>
            <w:pPr>
              <w:widowControl/>
              <w:spacing w:line="200" w:lineRule="exact"/>
              <w:jc w:val="center"/>
              <w:rPr>
                <w:rFonts w:eastAsia="仿宋_GB2312"/>
                <w:color w:val="000000"/>
                <w:kern w:val="0"/>
              </w:rPr>
            </w:pPr>
            <w:r>
              <w:rPr>
                <w:rFonts w:eastAsia="仿宋_GB2312"/>
                <w:color w:val="000000"/>
                <w:kern w:val="0"/>
              </w:rPr>
              <w:t>5</w:t>
            </w:r>
          </w:p>
        </w:tc>
        <w:tc>
          <w:tcPr>
            <w:tcW w:w="3552" w:type="dxa"/>
            <w:tcBorders>
              <w:top w:val="single" w:color="auto" w:sz="4" w:space="0"/>
              <w:left w:val="nil"/>
              <w:bottom w:val="single" w:color="auto"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宣传品一项没发放到位扣</w:t>
            </w:r>
            <w:r>
              <w:rPr>
                <w:rFonts w:eastAsia="仿宋_GB2312"/>
                <w:color w:val="000000"/>
                <w:kern w:val="0"/>
              </w:rPr>
              <w:t>1</w:t>
            </w:r>
            <w:r>
              <w:rPr>
                <w:rFonts w:hint="eastAsia" w:eastAsia="仿宋_GB2312" w:cs="仿宋_GB2312"/>
                <w:color w:val="000000"/>
                <w:kern w:val="0"/>
              </w:rPr>
              <w:t>分，公开更新不及时扣</w:t>
            </w:r>
            <w:r>
              <w:rPr>
                <w:rFonts w:eastAsia="仿宋_GB2312"/>
                <w:color w:val="000000"/>
                <w:kern w:val="0"/>
              </w:rPr>
              <w:t>2</w:t>
            </w:r>
            <w:r>
              <w:rPr>
                <w:rFonts w:hint="eastAsia" w:eastAsia="仿宋_GB2312" w:cs="仿宋_GB2312"/>
                <w:color w:val="000000"/>
                <w:kern w:val="0"/>
              </w:rPr>
              <w:t>分，氛围不浓厚扣</w:t>
            </w:r>
            <w:r>
              <w:rPr>
                <w:rFonts w:eastAsia="仿宋_GB2312"/>
                <w:color w:val="000000"/>
                <w:kern w:val="0"/>
              </w:rPr>
              <w:t>2</w:t>
            </w:r>
            <w:r>
              <w:rPr>
                <w:rFonts w:hint="eastAsia" w:eastAsia="仿宋_GB2312" w:cs="仿宋_GB2312"/>
                <w:color w:val="000000"/>
                <w:kern w:val="0"/>
              </w:rPr>
              <w:t>分，农户垃圾分类知晓率每少</w:t>
            </w:r>
            <w:r>
              <w:rPr>
                <w:rFonts w:eastAsia="仿宋_GB2312"/>
                <w:color w:val="000000"/>
                <w:kern w:val="0"/>
              </w:rPr>
              <w:t>5%</w:t>
            </w:r>
            <w:r>
              <w:rPr>
                <w:rFonts w:hint="eastAsia" w:eastAsia="仿宋_GB2312" w:cs="仿宋_GB2312"/>
                <w:color w:val="000000"/>
                <w:kern w:val="0"/>
              </w:rPr>
              <w:t>扣</w:t>
            </w:r>
            <w:r>
              <w:rPr>
                <w:rFonts w:eastAsia="仿宋_GB2312"/>
                <w:color w:val="000000"/>
                <w:kern w:val="0"/>
              </w:rPr>
              <w:t>1</w:t>
            </w:r>
            <w:r>
              <w:rPr>
                <w:rFonts w:hint="eastAsia" w:eastAsia="仿宋_GB2312" w:cs="仿宋_GB2312"/>
                <w:color w:val="000000"/>
                <w:kern w:val="0"/>
              </w:rPr>
              <w:t>分，扣完为止</w:t>
            </w:r>
          </w:p>
        </w:tc>
        <w:tc>
          <w:tcPr>
            <w:tcW w:w="408" w:type="dxa"/>
            <w:tcBorders>
              <w:top w:val="single" w:color="auto" w:sz="4" w:space="0"/>
              <w:left w:val="single" w:color="auto" w:sz="4" w:space="0"/>
              <w:bottom w:val="single" w:color="auto" w:sz="4" w:space="0"/>
              <w:right w:val="single" w:color="auto" w:sz="4" w:space="0"/>
            </w:tcBorders>
            <w:noWrap/>
            <w:tcMar>
              <w:top w:w="28" w:type="dxa"/>
              <w:left w:w="57" w:type="dxa"/>
              <w:bottom w:w="28" w:type="dxa"/>
              <w:right w:w="57" w:type="dxa"/>
            </w:tcMar>
            <w:vAlign w:val="center"/>
          </w:tcPr>
          <w:p>
            <w:pPr>
              <w:widowControl/>
              <w:spacing w:line="220" w:lineRule="exact"/>
              <w:jc w:val="center"/>
              <w:rPr>
                <w:rFonts w:eastAsia="仿宋_GB2312"/>
                <w:color w:val="000000"/>
                <w:kern w:val="0"/>
              </w:rPr>
            </w:pPr>
          </w:p>
        </w:tc>
        <w:tc>
          <w:tcPr>
            <w:tcW w:w="396"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eastAsia="仿宋_GB2312"/>
                <w:color w:val="000000"/>
                <w:kern w:val="0"/>
              </w:rPr>
            </w:pPr>
          </w:p>
        </w:tc>
        <w:tc>
          <w:tcPr>
            <w:tcW w:w="421" w:type="dxa"/>
            <w:tcBorders>
              <w:top w:val="single" w:color="auto" w:sz="4" w:space="0"/>
              <w:left w:val="single" w:color="auto" w:sz="4" w:space="0"/>
              <w:bottom w:val="single" w:color="auto" w:sz="4" w:space="0"/>
              <w:right w:val="single" w:color="000000" w:sz="4" w:space="0"/>
            </w:tcBorders>
            <w:noWrap/>
            <w:vAlign w:val="center"/>
          </w:tcPr>
          <w:p>
            <w:pPr>
              <w:widowControl/>
              <w:spacing w:line="220" w:lineRule="exact"/>
              <w:jc w:val="center"/>
              <w:rPr>
                <w:rFonts w:eastAsia="仿宋_GB2312"/>
                <w:color w:val="000000"/>
                <w:kern w:val="0"/>
              </w:rPr>
            </w:pPr>
          </w:p>
        </w:tc>
      </w:tr>
      <w:tr>
        <w:tblPrEx>
          <w:tblCellMar>
            <w:top w:w="0" w:type="dxa"/>
            <w:left w:w="108" w:type="dxa"/>
            <w:bottom w:w="0" w:type="dxa"/>
            <w:right w:w="108" w:type="dxa"/>
          </w:tblCellMar>
        </w:tblPrEx>
        <w:trPr>
          <w:trHeight w:val="432" w:hRule="atLeast"/>
          <w:jc w:val="center"/>
        </w:trPr>
        <w:tc>
          <w:tcPr>
            <w:tcW w:w="80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r>
              <w:rPr>
                <w:rFonts w:hint="eastAsia" w:eastAsia="仿宋_GB2312" w:cs="仿宋_GB2312"/>
                <w:color w:val="000000"/>
                <w:kern w:val="0"/>
              </w:rPr>
              <w:t>垃圾</w:t>
            </w:r>
          </w:p>
          <w:p>
            <w:pPr>
              <w:widowControl/>
              <w:spacing w:line="220" w:lineRule="exact"/>
              <w:jc w:val="center"/>
              <w:rPr>
                <w:rFonts w:eastAsia="仿宋_GB2312"/>
                <w:color w:val="000000"/>
                <w:kern w:val="0"/>
              </w:rPr>
            </w:pPr>
            <w:r>
              <w:rPr>
                <w:rFonts w:hint="eastAsia" w:eastAsia="仿宋_GB2312" w:cs="仿宋_GB2312"/>
                <w:color w:val="000000"/>
                <w:kern w:val="0"/>
              </w:rPr>
              <w:t>分类</w:t>
            </w:r>
          </w:p>
          <w:p>
            <w:pPr>
              <w:widowControl/>
              <w:spacing w:line="220" w:lineRule="exact"/>
              <w:jc w:val="center"/>
              <w:rPr>
                <w:rFonts w:eastAsia="仿宋_GB2312"/>
                <w:color w:val="000000"/>
                <w:kern w:val="0"/>
              </w:rPr>
            </w:pPr>
            <w:r>
              <w:rPr>
                <w:rFonts w:hint="eastAsia" w:eastAsia="仿宋_GB2312" w:cs="仿宋_GB2312"/>
                <w:color w:val="000000"/>
                <w:kern w:val="0"/>
              </w:rPr>
              <w:t>︵</w:t>
            </w:r>
          </w:p>
          <w:p>
            <w:pPr>
              <w:widowControl/>
              <w:spacing w:line="220" w:lineRule="exact"/>
              <w:jc w:val="center"/>
              <w:rPr>
                <w:rFonts w:eastAsia="仿宋_GB2312"/>
                <w:color w:val="000000"/>
                <w:kern w:val="0"/>
              </w:rPr>
            </w:pPr>
            <w:r>
              <w:rPr>
                <w:rFonts w:eastAsia="仿宋_GB2312"/>
                <w:color w:val="000000"/>
                <w:kern w:val="0"/>
              </w:rPr>
              <w:t>35</w:t>
            </w:r>
            <w:r>
              <w:rPr>
                <w:rFonts w:hint="eastAsia" w:eastAsia="仿宋_GB2312" w:cs="仿宋_GB2312"/>
                <w:color w:val="000000"/>
                <w:kern w:val="0"/>
              </w:rPr>
              <w:t>分</w:t>
            </w:r>
          </w:p>
          <w:p>
            <w:pPr>
              <w:widowControl/>
              <w:spacing w:line="220" w:lineRule="exact"/>
              <w:jc w:val="center"/>
              <w:rPr>
                <w:rFonts w:eastAsia="仿宋_GB2312"/>
                <w:color w:val="000000"/>
                <w:kern w:val="0"/>
              </w:rPr>
            </w:pPr>
            <w:r>
              <w:rPr>
                <w:rFonts w:hint="eastAsia" w:eastAsia="仿宋_GB2312" w:cs="仿宋_GB2312"/>
                <w:color w:val="000000"/>
                <w:kern w:val="0"/>
              </w:rPr>
              <w:t>︶</w:t>
            </w:r>
          </w:p>
        </w:tc>
        <w:tc>
          <w:tcPr>
            <w:tcW w:w="4625"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源头分类正确率农户达</w:t>
            </w:r>
            <w:r>
              <w:rPr>
                <w:rFonts w:eastAsia="仿宋_GB2312"/>
                <w:color w:val="000000"/>
                <w:kern w:val="0"/>
              </w:rPr>
              <w:t>90%</w:t>
            </w:r>
            <w:r>
              <w:rPr>
                <w:rFonts w:hint="eastAsia" w:eastAsia="仿宋_GB2312" w:cs="仿宋_GB2312"/>
                <w:color w:val="000000"/>
                <w:kern w:val="0"/>
              </w:rPr>
              <w:t>以上，党员干部分类正确率达</w:t>
            </w:r>
            <w:r>
              <w:rPr>
                <w:rFonts w:eastAsia="仿宋_GB2312"/>
                <w:color w:val="000000"/>
                <w:kern w:val="0"/>
              </w:rPr>
              <w:t>100%</w:t>
            </w:r>
            <w:r>
              <w:rPr>
                <w:rFonts w:hint="eastAsia" w:eastAsia="仿宋_GB2312" w:cs="仿宋_GB2312"/>
                <w:color w:val="000000"/>
                <w:kern w:val="0"/>
              </w:rPr>
              <w:t>。</w:t>
            </w:r>
          </w:p>
        </w:tc>
        <w:tc>
          <w:tcPr>
            <w:tcW w:w="456"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jc w:val="center"/>
              <w:rPr>
                <w:rFonts w:eastAsia="仿宋_GB2312"/>
                <w:color w:val="000000"/>
                <w:kern w:val="0"/>
              </w:rPr>
            </w:pPr>
            <w:r>
              <w:rPr>
                <w:rFonts w:eastAsia="仿宋_GB2312"/>
                <w:color w:val="000000"/>
                <w:kern w:val="0"/>
              </w:rPr>
              <w:t>10</w:t>
            </w:r>
          </w:p>
        </w:tc>
        <w:tc>
          <w:tcPr>
            <w:tcW w:w="3552"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农户低于</w:t>
            </w:r>
            <w:r>
              <w:rPr>
                <w:rFonts w:eastAsia="仿宋_GB2312"/>
                <w:color w:val="000000"/>
                <w:kern w:val="0"/>
              </w:rPr>
              <w:t>90%</w:t>
            </w:r>
            <w:r>
              <w:rPr>
                <w:rFonts w:hint="eastAsia" w:eastAsia="仿宋_GB2312" w:cs="仿宋_GB2312"/>
                <w:color w:val="000000"/>
                <w:kern w:val="0"/>
              </w:rPr>
              <w:t>扣</w:t>
            </w:r>
            <w:r>
              <w:rPr>
                <w:rFonts w:eastAsia="仿宋_GB2312"/>
                <w:color w:val="000000"/>
                <w:kern w:val="0"/>
              </w:rPr>
              <w:t>10</w:t>
            </w:r>
            <w:r>
              <w:rPr>
                <w:rFonts w:hint="eastAsia" w:eastAsia="仿宋_GB2312" w:cs="仿宋_GB2312"/>
                <w:color w:val="000000"/>
                <w:kern w:val="0"/>
              </w:rPr>
              <w:t>分，党员干部达不到</w:t>
            </w:r>
            <w:r>
              <w:rPr>
                <w:rFonts w:eastAsia="仿宋_GB2312"/>
                <w:color w:val="000000"/>
                <w:kern w:val="0"/>
              </w:rPr>
              <w:t>100%</w:t>
            </w:r>
            <w:r>
              <w:rPr>
                <w:rFonts w:hint="eastAsia" w:eastAsia="仿宋_GB2312" w:cs="仿宋_GB2312"/>
                <w:color w:val="000000"/>
                <w:kern w:val="0"/>
              </w:rPr>
              <w:t>扣</w:t>
            </w:r>
            <w:r>
              <w:rPr>
                <w:rFonts w:eastAsia="仿宋_GB2312"/>
                <w:color w:val="000000"/>
                <w:kern w:val="0"/>
              </w:rPr>
              <w:t>10</w:t>
            </w:r>
            <w:r>
              <w:rPr>
                <w:rFonts w:hint="eastAsia" w:eastAsia="仿宋_GB2312" w:cs="仿宋_GB2312"/>
                <w:color w:val="000000"/>
                <w:kern w:val="0"/>
              </w:rPr>
              <w:t>分。</w:t>
            </w:r>
          </w:p>
        </w:tc>
        <w:tc>
          <w:tcPr>
            <w:tcW w:w="408" w:type="dxa"/>
            <w:tcBorders>
              <w:top w:val="single" w:color="000000" w:sz="4" w:space="0"/>
              <w:left w:val="single" w:color="auto" w:sz="4" w:space="0"/>
              <w:bottom w:val="single" w:color="000000" w:sz="4" w:space="0"/>
              <w:right w:val="single" w:color="auto" w:sz="4" w:space="0"/>
            </w:tcBorders>
            <w:noWrap/>
            <w:tcMar>
              <w:top w:w="28" w:type="dxa"/>
              <w:left w:w="57" w:type="dxa"/>
              <w:bottom w:w="28" w:type="dxa"/>
              <w:right w:w="57" w:type="dxa"/>
            </w:tcMar>
            <w:vAlign w:val="center"/>
          </w:tcPr>
          <w:p>
            <w:pPr>
              <w:widowControl/>
              <w:spacing w:line="220" w:lineRule="exact"/>
              <w:jc w:val="center"/>
              <w:rPr>
                <w:rFonts w:eastAsia="仿宋_GB2312"/>
                <w:color w:val="000000"/>
                <w:kern w:val="0"/>
              </w:rPr>
            </w:pPr>
          </w:p>
        </w:tc>
        <w:tc>
          <w:tcPr>
            <w:tcW w:w="396" w:type="dxa"/>
            <w:tcBorders>
              <w:top w:val="single" w:color="000000" w:sz="4" w:space="0"/>
              <w:left w:val="single" w:color="auto" w:sz="4" w:space="0"/>
              <w:bottom w:val="single" w:color="000000" w:sz="4" w:space="0"/>
              <w:right w:val="single" w:color="auto" w:sz="4" w:space="0"/>
            </w:tcBorders>
            <w:noWrap/>
            <w:vAlign w:val="center"/>
          </w:tcPr>
          <w:p>
            <w:pPr>
              <w:widowControl/>
              <w:spacing w:line="220" w:lineRule="exact"/>
              <w:jc w:val="center"/>
              <w:rPr>
                <w:rFonts w:eastAsia="仿宋_GB2312"/>
                <w:color w:val="000000"/>
                <w:kern w:val="0"/>
              </w:rPr>
            </w:pPr>
          </w:p>
        </w:tc>
        <w:tc>
          <w:tcPr>
            <w:tcW w:w="421" w:type="dxa"/>
            <w:tcBorders>
              <w:top w:val="single" w:color="000000" w:sz="4" w:space="0"/>
              <w:left w:val="single" w:color="auto"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r>
      <w:tr>
        <w:tblPrEx>
          <w:tblCellMar>
            <w:top w:w="0" w:type="dxa"/>
            <w:left w:w="108" w:type="dxa"/>
            <w:bottom w:w="0" w:type="dxa"/>
            <w:right w:w="108" w:type="dxa"/>
          </w:tblCellMar>
        </w:tblPrEx>
        <w:trPr>
          <w:trHeight w:val="448" w:hRule="atLeast"/>
          <w:jc w:val="center"/>
        </w:trPr>
        <w:tc>
          <w:tcPr>
            <w:tcW w:w="80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c>
          <w:tcPr>
            <w:tcW w:w="4625"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保持分类垃圾桶摆放整齐规范，无明显破损，有固定设施，外表整洁干净、周边无散落垃圾。</w:t>
            </w:r>
          </w:p>
        </w:tc>
        <w:tc>
          <w:tcPr>
            <w:tcW w:w="456"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jc w:val="center"/>
              <w:rPr>
                <w:rFonts w:eastAsia="仿宋_GB2312"/>
                <w:color w:val="000000"/>
                <w:kern w:val="0"/>
              </w:rPr>
            </w:pPr>
            <w:r>
              <w:rPr>
                <w:rFonts w:eastAsia="仿宋_GB2312"/>
                <w:color w:val="000000"/>
                <w:kern w:val="0"/>
              </w:rPr>
              <w:t>10</w:t>
            </w:r>
          </w:p>
        </w:tc>
        <w:tc>
          <w:tcPr>
            <w:tcW w:w="3552"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发现一处未达到标准扣</w:t>
            </w:r>
            <w:r>
              <w:rPr>
                <w:rFonts w:eastAsia="仿宋_GB2312"/>
                <w:color w:val="000000"/>
                <w:kern w:val="0"/>
              </w:rPr>
              <w:t>1</w:t>
            </w:r>
            <w:r>
              <w:rPr>
                <w:rFonts w:hint="eastAsia" w:eastAsia="仿宋_GB2312" w:cs="仿宋_GB2312"/>
                <w:color w:val="000000"/>
                <w:kern w:val="0"/>
              </w:rPr>
              <w:t>分，扣完为止</w:t>
            </w:r>
          </w:p>
        </w:tc>
        <w:tc>
          <w:tcPr>
            <w:tcW w:w="408" w:type="dxa"/>
            <w:tcBorders>
              <w:top w:val="single" w:color="000000" w:sz="4" w:space="0"/>
              <w:left w:val="single" w:color="auto" w:sz="4" w:space="0"/>
              <w:bottom w:val="single" w:color="000000" w:sz="4" w:space="0"/>
              <w:right w:val="single" w:color="auto" w:sz="4" w:space="0"/>
            </w:tcBorders>
            <w:noWrap/>
            <w:tcMar>
              <w:top w:w="28" w:type="dxa"/>
              <w:left w:w="57" w:type="dxa"/>
              <w:bottom w:w="28" w:type="dxa"/>
              <w:right w:w="57" w:type="dxa"/>
            </w:tcMar>
            <w:vAlign w:val="center"/>
          </w:tcPr>
          <w:p>
            <w:pPr>
              <w:widowControl/>
              <w:spacing w:line="220" w:lineRule="exact"/>
              <w:jc w:val="center"/>
              <w:rPr>
                <w:rFonts w:eastAsia="仿宋_GB2312"/>
                <w:color w:val="000000"/>
                <w:kern w:val="0"/>
              </w:rPr>
            </w:pPr>
          </w:p>
        </w:tc>
        <w:tc>
          <w:tcPr>
            <w:tcW w:w="396" w:type="dxa"/>
            <w:tcBorders>
              <w:top w:val="single" w:color="000000" w:sz="4" w:space="0"/>
              <w:left w:val="single" w:color="auto" w:sz="4" w:space="0"/>
              <w:bottom w:val="single" w:color="000000" w:sz="4" w:space="0"/>
              <w:right w:val="single" w:color="auto" w:sz="4" w:space="0"/>
            </w:tcBorders>
            <w:noWrap/>
            <w:vAlign w:val="center"/>
          </w:tcPr>
          <w:p>
            <w:pPr>
              <w:widowControl/>
              <w:spacing w:line="220" w:lineRule="exact"/>
              <w:jc w:val="center"/>
              <w:rPr>
                <w:rFonts w:eastAsia="仿宋_GB2312"/>
                <w:color w:val="000000"/>
                <w:kern w:val="0"/>
              </w:rPr>
            </w:pPr>
          </w:p>
        </w:tc>
        <w:tc>
          <w:tcPr>
            <w:tcW w:w="421" w:type="dxa"/>
            <w:tcBorders>
              <w:top w:val="single" w:color="000000" w:sz="4" w:space="0"/>
              <w:left w:val="single" w:color="auto"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r>
      <w:tr>
        <w:tblPrEx>
          <w:tblCellMar>
            <w:top w:w="0" w:type="dxa"/>
            <w:left w:w="108" w:type="dxa"/>
            <w:bottom w:w="0" w:type="dxa"/>
            <w:right w:w="108" w:type="dxa"/>
          </w:tblCellMar>
        </w:tblPrEx>
        <w:trPr>
          <w:trHeight w:val="538" w:hRule="atLeast"/>
          <w:jc w:val="center"/>
        </w:trPr>
        <w:tc>
          <w:tcPr>
            <w:tcW w:w="80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c>
          <w:tcPr>
            <w:tcW w:w="4625"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配备专职监督员，分拣员、保洁员能胜任本职工作，入户分类收集垃圾，在装运垃圾入仓前二次分拣基本到位，工作做到日产日清。</w:t>
            </w:r>
          </w:p>
        </w:tc>
        <w:tc>
          <w:tcPr>
            <w:tcW w:w="456"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jc w:val="center"/>
              <w:rPr>
                <w:rFonts w:eastAsia="仿宋_GB2312"/>
                <w:color w:val="000000"/>
                <w:kern w:val="0"/>
              </w:rPr>
            </w:pPr>
            <w:r>
              <w:rPr>
                <w:rFonts w:eastAsia="仿宋_GB2312"/>
                <w:color w:val="000000"/>
                <w:kern w:val="0"/>
              </w:rPr>
              <w:t>10</w:t>
            </w:r>
          </w:p>
        </w:tc>
        <w:tc>
          <w:tcPr>
            <w:tcW w:w="3552"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spacing w:val="-2"/>
                <w:kern w:val="0"/>
              </w:rPr>
            </w:pPr>
            <w:r>
              <w:rPr>
                <w:rFonts w:hint="eastAsia" w:eastAsia="仿宋_GB2312" w:cs="仿宋_GB2312"/>
                <w:color w:val="000000"/>
                <w:kern w:val="0"/>
              </w:rPr>
              <w:t>未配备专职监督员扣</w:t>
            </w:r>
            <w:r>
              <w:rPr>
                <w:rFonts w:eastAsia="仿宋_GB2312"/>
                <w:color w:val="000000"/>
                <w:kern w:val="0"/>
              </w:rPr>
              <w:t>5</w:t>
            </w:r>
            <w:r>
              <w:rPr>
                <w:rFonts w:hint="eastAsia" w:eastAsia="仿宋_GB2312" w:cs="仿宋_GB2312"/>
                <w:color w:val="000000"/>
                <w:kern w:val="0"/>
              </w:rPr>
              <w:t>分，履职不到位扣</w:t>
            </w:r>
            <w:r>
              <w:rPr>
                <w:rFonts w:eastAsia="仿宋_GB2312"/>
                <w:color w:val="000000"/>
                <w:kern w:val="0"/>
              </w:rPr>
              <w:t>3</w:t>
            </w:r>
            <w:r>
              <w:rPr>
                <w:rFonts w:hint="eastAsia" w:eastAsia="仿宋_GB2312" w:cs="仿宋_GB2312"/>
                <w:color w:val="000000"/>
                <w:kern w:val="0"/>
              </w:rPr>
              <w:t>分。</w:t>
            </w:r>
            <w:r>
              <w:rPr>
                <w:rFonts w:hint="eastAsia" w:eastAsia="仿宋_GB2312" w:cs="仿宋_GB2312"/>
                <w:color w:val="000000"/>
                <w:spacing w:val="-2"/>
                <w:kern w:val="0"/>
              </w:rPr>
              <w:t>入户收集不到位扣</w:t>
            </w:r>
            <w:r>
              <w:rPr>
                <w:rFonts w:eastAsia="仿宋_GB2312"/>
                <w:color w:val="000000"/>
                <w:spacing w:val="-2"/>
                <w:kern w:val="0"/>
              </w:rPr>
              <w:t>2</w:t>
            </w:r>
            <w:r>
              <w:rPr>
                <w:rFonts w:hint="eastAsia" w:eastAsia="仿宋_GB2312" w:cs="仿宋_GB2312"/>
                <w:color w:val="000000"/>
                <w:spacing w:val="-2"/>
                <w:kern w:val="0"/>
              </w:rPr>
              <w:t>分，二次分拣不到位的扣</w:t>
            </w:r>
            <w:r>
              <w:rPr>
                <w:rFonts w:eastAsia="仿宋_GB2312"/>
                <w:color w:val="000000"/>
                <w:spacing w:val="-2"/>
                <w:kern w:val="0"/>
              </w:rPr>
              <w:t>2</w:t>
            </w:r>
            <w:r>
              <w:rPr>
                <w:rFonts w:hint="eastAsia" w:eastAsia="仿宋_GB2312" w:cs="仿宋_GB2312"/>
                <w:color w:val="000000"/>
                <w:spacing w:val="-2"/>
                <w:kern w:val="0"/>
              </w:rPr>
              <w:t>分，未进行二次分拣的扣</w:t>
            </w:r>
            <w:r>
              <w:rPr>
                <w:rFonts w:eastAsia="仿宋_GB2312"/>
                <w:color w:val="000000"/>
                <w:spacing w:val="-2"/>
                <w:kern w:val="0"/>
              </w:rPr>
              <w:t>3</w:t>
            </w:r>
            <w:r>
              <w:rPr>
                <w:rFonts w:hint="eastAsia" w:eastAsia="仿宋_GB2312" w:cs="仿宋_GB2312"/>
                <w:color w:val="000000"/>
                <w:spacing w:val="-2"/>
                <w:kern w:val="0"/>
              </w:rPr>
              <w:t>分，未做到日产日清扣</w:t>
            </w:r>
            <w:r>
              <w:rPr>
                <w:rFonts w:eastAsia="仿宋_GB2312"/>
                <w:color w:val="000000"/>
                <w:spacing w:val="-2"/>
                <w:kern w:val="0"/>
              </w:rPr>
              <w:t>3</w:t>
            </w:r>
            <w:r>
              <w:rPr>
                <w:rFonts w:hint="eastAsia" w:eastAsia="仿宋_GB2312" w:cs="仿宋_GB2312"/>
                <w:color w:val="000000"/>
                <w:spacing w:val="-2"/>
                <w:kern w:val="0"/>
              </w:rPr>
              <w:t>分，未分类收集运输的扣</w:t>
            </w:r>
            <w:r>
              <w:rPr>
                <w:rFonts w:eastAsia="仿宋_GB2312"/>
                <w:color w:val="000000"/>
                <w:spacing w:val="-2"/>
                <w:kern w:val="0"/>
              </w:rPr>
              <w:t>10</w:t>
            </w:r>
            <w:r>
              <w:rPr>
                <w:rFonts w:hint="eastAsia" w:eastAsia="仿宋_GB2312" w:cs="仿宋_GB2312"/>
                <w:color w:val="000000"/>
                <w:spacing w:val="-2"/>
                <w:kern w:val="0"/>
              </w:rPr>
              <w:t>分</w:t>
            </w:r>
          </w:p>
        </w:tc>
        <w:tc>
          <w:tcPr>
            <w:tcW w:w="408" w:type="dxa"/>
            <w:tcBorders>
              <w:top w:val="single" w:color="000000" w:sz="4" w:space="0"/>
              <w:left w:val="single" w:color="auto" w:sz="4" w:space="0"/>
              <w:bottom w:val="single" w:color="000000" w:sz="4" w:space="0"/>
              <w:right w:val="single" w:color="auto" w:sz="4" w:space="0"/>
            </w:tcBorders>
            <w:noWrap/>
            <w:tcMar>
              <w:top w:w="28" w:type="dxa"/>
              <w:left w:w="57" w:type="dxa"/>
              <w:bottom w:w="28" w:type="dxa"/>
              <w:right w:w="57" w:type="dxa"/>
            </w:tcMar>
            <w:vAlign w:val="center"/>
          </w:tcPr>
          <w:p>
            <w:pPr>
              <w:widowControl/>
              <w:spacing w:line="220" w:lineRule="exact"/>
              <w:jc w:val="center"/>
              <w:rPr>
                <w:rFonts w:eastAsia="仿宋_GB2312"/>
                <w:color w:val="000000"/>
                <w:kern w:val="0"/>
              </w:rPr>
            </w:pPr>
          </w:p>
        </w:tc>
        <w:tc>
          <w:tcPr>
            <w:tcW w:w="396" w:type="dxa"/>
            <w:tcBorders>
              <w:top w:val="single" w:color="000000" w:sz="4" w:space="0"/>
              <w:left w:val="single" w:color="auto" w:sz="4" w:space="0"/>
              <w:bottom w:val="single" w:color="000000" w:sz="4" w:space="0"/>
              <w:right w:val="single" w:color="auto" w:sz="4" w:space="0"/>
            </w:tcBorders>
            <w:noWrap/>
            <w:vAlign w:val="center"/>
          </w:tcPr>
          <w:p>
            <w:pPr>
              <w:widowControl/>
              <w:spacing w:line="220" w:lineRule="exact"/>
              <w:jc w:val="center"/>
              <w:rPr>
                <w:rFonts w:eastAsia="仿宋_GB2312"/>
                <w:color w:val="000000"/>
                <w:kern w:val="0"/>
              </w:rPr>
            </w:pPr>
          </w:p>
        </w:tc>
        <w:tc>
          <w:tcPr>
            <w:tcW w:w="421" w:type="dxa"/>
            <w:tcBorders>
              <w:top w:val="single" w:color="000000" w:sz="4" w:space="0"/>
              <w:left w:val="single" w:color="auto"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r>
      <w:tr>
        <w:tblPrEx>
          <w:tblCellMar>
            <w:top w:w="0" w:type="dxa"/>
            <w:left w:w="108" w:type="dxa"/>
            <w:bottom w:w="0" w:type="dxa"/>
            <w:right w:w="108" w:type="dxa"/>
          </w:tblCellMar>
        </w:tblPrEx>
        <w:trPr>
          <w:trHeight w:val="240" w:hRule="atLeast"/>
          <w:jc w:val="center"/>
        </w:trPr>
        <w:tc>
          <w:tcPr>
            <w:tcW w:w="804" w:type="dxa"/>
            <w:vMerge w:val="continue"/>
            <w:tcBorders>
              <w:top w:val="single" w:color="000000" w:sz="4" w:space="0"/>
              <w:left w:val="single" w:color="000000" w:sz="4" w:space="0"/>
              <w:bottom w:val="single" w:color="auto" w:sz="4" w:space="0"/>
              <w:right w:val="single" w:color="000000" w:sz="4" w:space="0"/>
            </w:tcBorders>
            <w:noWrap/>
            <w:vAlign w:val="center"/>
          </w:tcPr>
          <w:p>
            <w:pPr>
              <w:widowControl/>
              <w:spacing w:line="220" w:lineRule="exact"/>
              <w:jc w:val="center"/>
              <w:rPr>
                <w:rFonts w:eastAsia="仿宋_GB2312"/>
                <w:color w:val="000000"/>
                <w:kern w:val="0"/>
              </w:rPr>
            </w:pPr>
          </w:p>
        </w:tc>
        <w:tc>
          <w:tcPr>
            <w:tcW w:w="4625" w:type="dxa"/>
            <w:tcBorders>
              <w:top w:val="single" w:color="000000" w:sz="4" w:space="0"/>
              <w:left w:val="nil"/>
              <w:bottom w:val="single" w:color="auto"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阳光堆肥房（机器处理站）内可堆肥和其他垃圾分类到位。</w:t>
            </w:r>
          </w:p>
        </w:tc>
        <w:tc>
          <w:tcPr>
            <w:tcW w:w="456"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jc w:val="center"/>
              <w:rPr>
                <w:rFonts w:eastAsia="仿宋_GB2312"/>
                <w:color w:val="000000"/>
                <w:kern w:val="0"/>
              </w:rPr>
            </w:pPr>
            <w:r>
              <w:rPr>
                <w:rFonts w:eastAsia="仿宋_GB2312"/>
                <w:color w:val="000000"/>
                <w:kern w:val="0"/>
              </w:rPr>
              <w:t>5</w:t>
            </w:r>
          </w:p>
        </w:tc>
        <w:tc>
          <w:tcPr>
            <w:tcW w:w="3552"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分类不彻底扣</w:t>
            </w:r>
            <w:r>
              <w:rPr>
                <w:rFonts w:eastAsia="仿宋_GB2312"/>
                <w:color w:val="000000"/>
                <w:kern w:val="0"/>
              </w:rPr>
              <w:t>2</w:t>
            </w:r>
            <w:r>
              <w:rPr>
                <w:rFonts w:hint="eastAsia" w:eastAsia="仿宋_GB2312" w:cs="仿宋_GB2312"/>
                <w:color w:val="000000"/>
                <w:kern w:val="0"/>
              </w:rPr>
              <w:t>分，未分类扣</w:t>
            </w:r>
            <w:r>
              <w:rPr>
                <w:rFonts w:eastAsia="仿宋_GB2312"/>
                <w:color w:val="000000"/>
                <w:kern w:val="0"/>
              </w:rPr>
              <w:t>5</w:t>
            </w:r>
            <w:r>
              <w:rPr>
                <w:rFonts w:hint="eastAsia" w:eastAsia="仿宋_GB2312" w:cs="仿宋_GB2312"/>
                <w:color w:val="000000"/>
                <w:kern w:val="0"/>
              </w:rPr>
              <w:t>分</w:t>
            </w:r>
          </w:p>
        </w:tc>
        <w:tc>
          <w:tcPr>
            <w:tcW w:w="408" w:type="dxa"/>
            <w:tcBorders>
              <w:top w:val="single" w:color="000000" w:sz="4" w:space="0"/>
              <w:left w:val="single" w:color="auto" w:sz="4" w:space="0"/>
              <w:bottom w:val="single" w:color="000000" w:sz="4" w:space="0"/>
              <w:right w:val="single" w:color="auto" w:sz="4" w:space="0"/>
            </w:tcBorders>
            <w:noWrap/>
            <w:tcMar>
              <w:top w:w="28" w:type="dxa"/>
              <w:left w:w="57" w:type="dxa"/>
              <w:bottom w:w="28" w:type="dxa"/>
              <w:right w:w="57" w:type="dxa"/>
            </w:tcMar>
            <w:vAlign w:val="center"/>
          </w:tcPr>
          <w:p>
            <w:pPr>
              <w:widowControl/>
              <w:spacing w:line="220" w:lineRule="exact"/>
              <w:jc w:val="center"/>
              <w:rPr>
                <w:rFonts w:eastAsia="仿宋_GB2312"/>
                <w:color w:val="000000"/>
                <w:kern w:val="0"/>
              </w:rPr>
            </w:pPr>
          </w:p>
        </w:tc>
        <w:tc>
          <w:tcPr>
            <w:tcW w:w="396" w:type="dxa"/>
            <w:tcBorders>
              <w:top w:val="single" w:color="000000" w:sz="4" w:space="0"/>
              <w:left w:val="single" w:color="auto" w:sz="4" w:space="0"/>
              <w:bottom w:val="single" w:color="000000" w:sz="4" w:space="0"/>
              <w:right w:val="single" w:color="auto" w:sz="4" w:space="0"/>
            </w:tcBorders>
            <w:noWrap/>
            <w:vAlign w:val="center"/>
          </w:tcPr>
          <w:p>
            <w:pPr>
              <w:widowControl/>
              <w:spacing w:line="220" w:lineRule="exact"/>
              <w:jc w:val="center"/>
              <w:rPr>
                <w:rFonts w:eastAsia="仿宋_GB2312"/>
                <w:color w:val="000000"/>
                <w:kern w:val="0"/>
              </w:rPr>
            </w:pPr>
          </w:p>
        </w:tc>
        <w:tc>
          <w:tcPr>
            <w:tcW w:w="421" w:type="dxa"/>
            <w:tcBorders>
              <w:top w:val="single" w:color="000000" w:sz="4" w:space="0"/>
              <w:left w:val="single" w:color="auto"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r>
      <w:tr>
        <w:tblPrEx>
          <w:tblCellMar>
            <w:top w:w="0" w:type="dxa"/>
            <w:left w:w="108" w:type="dxa"/>
            <w:bottom w:w="0" w:type="dxa"/>
            <w:right w:w="108" w:type="dxa"/>
          </w:tblCellMar>
        </w:tblPrEx>
        <w:trPr>
          <w:trHeight w:val="417" w:hRule="atLeast"/>
          <w:jc w:val="center"/>
        </w:trPr>
        <w:tc>
          <w:tcPr>
            <w:tcW w:w="80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r>
              <w:rPr>
                <w:rFonts w:hint="eastAsia" w:eastAsia="仿宋_GB2312" w:cs="仿宋_GB2312"/>
                <w:color w:val="000000"/>
                <w:kern w:val="0"/>
              </w:rPr>
              <w:t>设施</w:t>
            </w:r>
          </w:p>
          <w:p>
            <w:pPr>
              <w:widowControl/>
              <w:spacing w:line="220" w:lineRule="exact"/>
              <w:jc w:val="center"/>
              <w:rPr>
                <w:rFonts w:eastAsia="仿宋_GB2312"/>
                <w:color w:val="000000"/>
                <w:kern w:val="0"/>
              </w:rPr>
            </w:pPr>
            <w:r>
              <w:rPr>
                <w:rFonts w:hint="eastAsia" w:eastAsia="仿宋_GB2312" w:cs="仿宋_GB2312"/>
                <w:color w:val="000000"/>
                <w:kern w:val="0"/>
              </w:rPr>
              <w:t>管理</w:t>
            </w:r>
          </w:p>
          <w:p>
            <w:pPr>
              <w:widowControl/>
              <w:spacing w:line="220" w:lineRule="exact"/>
              <w:jc w:val="center"/>
              <w:rPr>
                <w:rFonts w:eastAsia="仿宋_GB2312"/>
                <w:color w:val="000000"/>
                <w:kern w:val="0"/>
              </w:rPr>
            </w:pPr>
            <w:r>
              <w:rPr>
                <w:rFonts w:hint="eastAsia" w:eastAsia="仿宋_GB2312" w:cs="仿宋_GB2312"/>
                <w:color w:val="000000"/>
                <w:kern w:val="0"/>
              </w:rPr>
              <w:t>︵</w:t>
            </w:r>
          </w:p>
          <w:p>
            <w:pPr>
              <w:widowControl/>
              <w:spacing w:line="220" w:lineRule="exact"/>
              <w:jc w:val="center"/>
              <w:rPr>
                <w:rFonts w:eastAsia="仿宋_GB2312"/>
                <w:color w:val="000000"/>
                <w:kern w:val="0"/>
              </w:rPr>
            </w:pPr>
            <w:r>
              <w:rPr>
                <w:rFonts w:eastAsia="仿宋_GB2312"/>
                <w:color w:val="000000"/>
                <w:kern w:val="0"/>
              </w:rPr>
              <w:t>10</w:t>
            </w:r>
            <w:r>
              <w:rPr>
                <w:rFonts w:hint="eastAsia" w:eastAsia="仿宋_GB2312" w:cs="仿宋_GB2312"/>
                <w:color w:val="000000"/>
                <w:kern w:val="0"/>
              </w:rPr>
              <w:t>分</w:t>
            </w:r>
          </w:p>
          <w:p>
            <w:pPr>
              <w:widowControl/>
              <w:spacing w:line="220" w:lineRule="exact"/>
              <w:jc w:val="center"/>
              <w:rPr>
                <w:rFonts w:eastAsia="仿宋_GB2312"/>
                <w:color w:val="000000"/>
                <w:kern w:val="0"/>
              </w:rPr>
            </w:pPr>
            <w:r>
              <w:rPr>
                <w:rFonts w:hint="eastAsia" w:eastAsia="仿宋_GB2312" w:cs="仿宋_GB2312"/>
                <w:color w:val="000000"/>
                <w:kern w:val="0"/>
              </w:rPr>
              <w:t>︶</w:t>
            </w:r>
          </w:p>
        </w:tc>
        <w:tc>
          <w:tcPr>
            <w:tcW w:w="4625" w:type="dxa"/>
            <w:tcBorders>
              <w:top w:val="single" w:color="auto"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垃圾处理终端实行房（站）长负责制，实行立牌公示，房（站）长及操作人工作职责履行到位。环境卫生保洁到位。</w:t>
            </w:r>
          </w:p>
        </w:tc>
        <w:tc>
          <w:tcPr>
            <w:tcW w:w="456" w:type="dxa"/>
            <w:tcBorders>
              <w:top w:val="single" w:color="auto"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jc w:val="center"/>
              <w:rPr>
                <w:rFonts w:eastAsia="仿宋_GB2312"/>
                <w:color w:val="000000"/>
                <w:kern w:val="0"/>
              </w:rPr>
            </w:pPr>
            <w:r>
              <w:rPr>
                <w:rFonts w:eastAsia="仿宋_GB2312"/>
                <w:color w:val="000000"/>
                <w:kern w:val="0"/>
              </w:rPr>
              <w:t>7</w:t>
            </w:r>
          </w:p>
        </w:tc>
        <w:tc>
          <w:tcPr>
            <w:tcW w:w="3552" w:type="dxa"/>
            <w:tcBorders>
              <w:top w:val="single" w:color="auto"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spacing w:val="-2"/>
                <w:kern w:val="0"/>
              </w:rPr>
            </w:pPr>
            <w:r>
              <w:rPr>
                <w:rFonts w:hint="eastAsia" w:eastAsia="仿宋_GB2312" w:cs="仿宋_GB2312"/>
                <w:color w:val="000000"/>
                <w:spacing w:val="-2"/>
                <w:kern w:val="0"/>
              </w:rPr>
              <w:t>没有立牌公示扣</w:t>
            </w:r>
            <w:r>
              <w:rPr>
                <w:rFonts w:eastAsia="仿宋_GB2312"/>
                <w:color w:val="000000"/>
                <w:spacing w:val="-2"/>
                <w:kern w:val="0"/>
              </w:rPr>
              <w:t>1</w:t>
            </w:r>
            <w:r>
              <w:rPr>
                <w:rFonts w:hint="eastAsia" w:eastAsia="仿宋_GB2312" w:cs="仿宋_GB2312"/>
                <w:color w:val="000000"/>
                <w:spacing w:val="-2"/>
                <w:kern w:val="0"/>
              </w:rPr>
              <w:t>分，房（站）长及操作人履行不到位扣</w:t>
            </w:r>
            <w:r>
              <w:rPr>
                <w:rFonts w:eastAsia="仿宋_GB2312"/>
                <w:color w:val="000000"/>
                <w:spacing w:val="-2"/>
                <w:kern w:val="0"/>
              </w:rPr>
              <w:t>3</w:t>
            </w:r>
            <w:r>
              <w:rPr>
                <w:rFonts w:hint="eastAsia" w:eastAsia="仿宋_GB2312" w:cs="仿宋_GB2312"/>
                <w:color w:val="000000"/>
                <w:spacing w:val="-2"/>
                <w:kern w:val="0"/>
              </w:rPr>
              <w:t>分，终端运行不规范扣</w:t>
            </w:r>
            <w:r>
              <w:rPr>
                <w:rFonts w:eastAsia="仿宋_GB2312"/>
                <w:color w:val="000000"/>
                <w:spacing w:val="-2"/>
                <w:kern w:val="0"/>
              </w:rPr>
              <w:t>3</w:t>
            </w:r>
            <w:r>
              <w:rPr>
                <w:rFonts w:hint="eastAsia" w:eastAsia="仿宋_GB2312" w:cs="仿宋_GB2312"/>
                <w:color w:val="000000"/>
                <w:spacing w:val="-2"/>
                <w:kern w:val="0"/>
              </w:rPr>
              <w:t>分，卫生保洁不到位扣</w:t>
            </w:r>
            <w:r>
              <w:rPr>
                <w:rFonts w:eastAsia="仿宋_GB2312"/>
                <w:color w:val="000000"/>
                <w:spacing w:val="-2"/>
                <w:kern w:val="0"/>
              </w:rPr>
              <w:t>3</w:t>
            </w:r>
            <w:r>
              <w:rPr>
                <w:rFonts w:hint="eastAsia" w:eastAsia="仿宋_GB2312" w:cs="仿宋_GB2312"/>
                <w:color w:val="000000"/>
                <w:spacing w:val="-2"/>
                <w:kern w:val="0"/>
              </w:rPr>
              <w:t>分。</w:t>
            </w:r>
          </w:p>
        </w:tc>
        <w:tc>
          <w:tcPr>
            <w:tcW w:w="408" w:type="dxa"/>
            <w:tcBorders>
              <w:top w:val="single" w:color="auto" w:sz="4" w:space="0"/>
              <w:left w:val="single" w:color="auto" w:sz="4" w:space="0"/>
              <w:bottom w:val="single" w:color="000000" w:sz="4" w:space="0"/>
              <w:right w:val="single" w:color="auto" w:sz="4" w:space="0"/>
            </w:tcBorders>
            <w:noWrap/>
            <w:tcMar>
              <w:top w:w="28" w:type="dxa"/>
              <w:left w:w="57" w:type="dxa"/>
              <w:bottom w:w="28" w:type="dxa"/>
              <w:right w:w="57" w:type="dxa"/>
            </w:tcMar>
            <w:vAlign w:val="center"/>
          </w:tcPr>
          <w:p>
            <w:pPr>
              <w:widowControl/>
              <w:spacing w:line="220" w:lineRule="exact"/>
              <w:jc w:val="center"/>
              <w:rPr>
                <w:rFonts w:eastAsia="仿宋_GB2312"/>
                <w:color w:val="000000"/>
                <w:kern w:val="0"/>
              </w:rPr>
            </w:pPr>
          </w:p>
        </w:tc>
        <w:tc>
          <w:tcPr>
            <w:tcW w:w="396" w:type="dxa"/>
            <w:tcBorders>
              <w:top w:val="single" w:color="auto" w:sz="4" w:space="0"/>
              <w:left w:val="single" w:color="auto" w:sz="4" w:space="0"/>
              <w:bottom w:val="single" w:color="000000" w:sz="4" w:space="0"/>
              <w:right w:val="single" w:color="auto" w:sz="4" w:space="0"/>
            </w:tcBorders>
            <w:noWrap/>
            <w:vAlign w:val="center"/>
          </w:tcPr>
          <w:p>
            <w:pPr>
              <w:widowControl/>
              <w:spacing w:line="220" w:lineRule="exact"/>
              <w:jc w:val="center"/>
              <w:rPr>
                <w:rFonts w:eastAsia="仿宋_GB2312"/>
                <w:color w:val="000000"/>
                <w:kern w:val="0"/>
              </w:rPr>
            </w:pPr>
          </w:p>
        </w:tc>
        <w:tc>
          <w:tcPr>
            <w:tcW w:w="421" w:type="dxa"/>
            <w:tcBorders>
              <w:top w:val="single" w:color="auto" w:sz="4" w:space="0"/>
              <w:left w:val="single" w:color="auto"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r>
      <w:tr>
        <w:tblPrEx>
          <w:tblCellMar>
            <w:top w:w="0" w:type="dxa"/>
            <w:left w:w="108" w:type="dxa"/>
            <w:bottom w:w="0" w:type="dxa"/>
            <w:right w:w="108" w:type="dxa"/>
          </w:tblCellMar>
        </w:tblPrEx>
        <w:trPr>
          <w:trHeight w:val="666" w:hRule="atLeast"/>
          <w:jc w:val="center"/>
        </w:trPr>
        <w:tc>
          <w:tcPr>
            <w:tcW w:w="804" w:type="dxa"/>
            <w:vMerge w:val="continue"/>
            <w:tcBorders>
              <w:left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c>
          <w:tcPr>
            <w:tcW w:w="4625"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终端处理设施设置护栏和警示标志；设置宣传栏、公示栏；基础设施和周边绿化管理到位；不可烂垃圾及时清理。</w:t>
            </w:r>
          </w:p>
        </w:tc>
        <w:tc>
          <w:tcPr>
            <w:tcW w:w="456"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jc w:val="center"/>
              <w:rPr>
                <w:rFonts w:eastAsia="仿宋_GB2312"/>
                <w:color w:val="000000"/>
                <w:kern w:val="0"/>
              </w:rPr>
            </w:pPr>
            <w:r>
              <w:rPr>
                <w:rFonts w:eastAsia="仿宋_GB2312"/>
                <w:color w:val="000000"/>
                <w:kern w:val="0"/>
              </w:rPr>
              <w:t>3</w:t>
            </w:r>
          </w:p>
        </w:tc>
        <w:tc>
          <w:tcPr>
            <w:tcW w:w="3552" w:type="dxa"/>
            <w:tcBorders>
              <w:top w:val="single" w:color="000000" w:sz="4" w:space="0"/>
              <w:left w:val="nil"/>
              <w:bottom w:val="single" w:color="000000" w:sz="4" w:space="0"/>
              <w:right w:val="single" w:color="000000" w:sz="4" w:space="0"/>
            </w:tcBorders>
            <w:noWrap/>
            <w:tcMar>
              <w:top w:w="28" w:type="dxa"/>
              <w:left w:w="57" w:type="dxa"/>
              <w:bottom w:w="28" w:type="dxa"/>
              <w:right w:w="57" w:type="dxa"/>
            </w:tcMar>
            <w:vAlign w:val="center"/>
          </w:tcPr>
          <w:p>
            <w:pPr>
              <w:widowControl/>
              <w:spacing w:line="200" w:lineRule="exact"/>
              <w:rPr>
                <w:rFonts w:eastAsia="仿宋_GB2312"/>
                <w:color w:val="000000"/>
                <w:kern w:val="0"/>
              </w:rPr>
            </w:pPr>
            <w:r>
              <w:rPr>
                <w:rFonts w:hint="eastAsia" w:eastAsia="仿宋_GB2312" w:cs="仿宋_GB2312"/>
                <w:color w:val="000000"/>
                <w:kern w:val="0"/>
              </w:rPr>
              <w:t>每项缺一扣</w:t>
            </w:r>
            <w:r>
              <w:rPr>
                <w:rFonts w:eastAsia="仿宋_GB2312"/>
                <w:color w:val="000000"/>
                <w:kern w:val="0"/>
              </w:rPr>
              <w:t>2</w:t>
            </w:r>
            <w:r>
              <w:rPr>
                <w:rFonts w:hint="eastAsia" w:eastAsia="仿宋_GB2312" w:cs="仿宋_GB2312"/>
                <w:color w:val="000000"/>
                <w:kern w:val="0"/>
              </w:rPr>
              <w:t>分，扣完为止</w:t>
            </w:r>
          </w:p>
        </w:tc>
        <w:tc>
          <w:tcPr>
            <w:tcW w:w="408" w:type="dxa"/>
            <w:tcBorders>
              <w:top w:val="single" w:color="000000" w:sz="4" w:space="0"/>
              <w:left w:val="single" w:color="auto" w:sz="4" w:space="0"/>
              <w:bottom w:val="single" w:color="000000" w:sz="4" w:space="0"/>
              <w:right w:val="single" w:color="auto" w:sz="4" w:space="0"/>
            </w:tcBorders>
            <w:noWrap/>
            <w:tcMar>
              <w:top w:w="28" w:type="dxa"/>
              <w:left w:w="57" w:type="dxa"/>
              <w:bottom w:w="28" w:type="dxa"/>
              <w:right w:w="57" w:type="dxa"/>
            </w:tcMar>
            <w:vAlign w:val="center"/>
          </w:tcPr>
          <w:p>
            <w:pPr>
              <w:widowControl/>
              <w:spacing w:line="220" w:lineRule="exact"/>
              <w:jc w:val="center"/>
              <w:rPr>
                <w:rFonts w:eastAsia="仿宋_GB2312"/>
                <w:color w:val="000000"/>
                <w:kern w:val="0"/>
              </w:rPr>
            </w:pPr>
          </w:p>
        </w:tc>
        <w:tc>
          <w:tcPr>
            <w:tcW w:w="396" w:type="dxa"/>
            <w:tcBorders>
              <w:top w:val="single" w:color="000000" w:sz="4" w:space="0"/>
              <w:left w:val="single" w:color="auto" w:sz="4" w:space="0"/>
              <w:bottom w:val="single" w:color="000000" w:sz="4" w:space="0"/>
              <w:right w:val="single" w:color="auto" w:sz="4" w:space="0"/>
            </w:tcBorders>
            <w:noWrap/>
            <w:vAlign w:val="center"/>
          </w:tcPr>
          <w:p>
            <w:pPr>
              <w:widowControl/>
              <w:spacing w:line="220" w:lineRule="exact"/>
              <w:jc w:val="center"/>
              <w:rPr>
                <w:rFonts w:eastAsia="仿宋_GB2312"/>
                <w:color w:val="000000"/>
                <w:kern w:val="0"/>
              </w:rPr>
            </w:pPr>
          </w:p>
        </w:tc>
        <w:tc>
          <w:tcPr>
            <w:tcW w:w="421" w:type="dxa"/>
            <w:tcBorders>
              <w:top w:val="single" w:color="000000" w:sz="4" w:space="0"/>
              <w:left w:val="single" w:color="auto"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r>
      <w:tr>
        <w:tblPrEx>
          <w:tblCellMar>
            <w:top w:w="0" w:type="dxa"/>
            <w:left w:w="108" w:type="dxa"/>
            <w:bottom w:w="0" w:type="dxa"/>
            <w:right w:w="108" w:type="dxa"/>
          </w:tblCellMar>
        </w:tblPrEx>
        <w:trPr>
          <w:trHeight w:val="646" w:hRule="atLeast"/>
          <w:jc w:val="center"/>
        </w:trPr>
        <w:tc>
          <w:tcPr>
            <w:tcW w:w="80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r>
              <w:rPr>
                <w:rFonts w:hint="eastAsia" w:eastAsia="仿宋_GB2312" w:cs="仿宋_GB2312"/>
                <w:color w:val="000000"/>
                <w:kern w:val="0"/>
              </w:rPr>
              <w:t>村容</w:t>
            </w:r>
          </w:p>
          <w:p>
            <w:pPr>
              <w:widowControl/>
              <w:spacing w:line="220" w:lineRule="exact"/>
              <w:jc w:val="center"/>
              <w:rPr>
                <w:rFonts w:eastAsia="仿宋_GB2312"/>
                <w:color w:val="000000"/>
                <w:kern w:val="0"/>
              </w:rPr>
            </w:pPr>
            <w:r>
              <w:rPr>
                <w:rFonts w:hint="eastAsia" w:eastAsia="仿宋_GB2312" w:cs="仿宋_GB2312"/>
                <w:color w:val="000000"/>
                <w:kern w:val="0"/>
              </w:rPr>
              <w:t>环境</w:t>
            </w:r>
          </w:p>
          <w:p>
            <w:pPr>
              <w:widowControl/>
              <w:spacing w:line="220" w:lineRule="exact"/>
              <w:jc w:val="center"/>
              <w:rPr>
                <w:rFonts w:eastAsia="仿宋_GB2312"/>
                <w:color w:val="000000"/>
                <w:kern w:val="0"/>
              </w:rPr>
            </w:pPr>
            <w:r>
              <w:rPr>
                <w:rFonts w:hint="eastAsia" w:eastAsia="仿宋_GB2312" w:cs="仿宋_GB2312"/>
                <w:color w:val="000000"/>
                <w:kern w:val="0"/>
              </w:rPr>
              <w:t>︵</w:t>
            </w:r>
          </w:p>
          <w:p>
            <w:pPr>
              <w:widowControl/>
              <w:spacing w:line="220" w:lineRule="exact"/>
              <w:jc w:val="center"/>
              <w:rPr>
                <w:rFonts w:eastAsia="仿宋_GB2312"/>
                <w:color w:val="000000"/>
                <w:kern w:val="0"/>
              </w:rPr>
            </w:pPr>
            <w:r>
              <w:rPr>
                <w:rFonts w:eastAsia="仿宋_GB2312"/>
                <w:color w:val="000000"/>
                <w:kern w:val="0"/>
              </w:rPr>
              <w:t>10</w:t>
            </w:r>
            <w:r>
              <w:rPr>
                <w:rFonts w:hint="eastAsia" w:eastAsia="仿宋_GB2312" w:cs="仿宋_GB2312"/>
                <w:color w:val="000000"/>
                <w:kern w:val="0"/>
              </w:rPr>
              <w:t>分</w:t>
            </w:r>
          </w:p>
          <w:p>
            <w:pPr>
              <w:widowControl/>
              <w:spacing w:line="220" w:lineRule="exact"/>
              <w:jc w:val="center"/>
              <w:rPr>
                <w:rFonts w:eastAsia="仿宋_GB2312"/>
                <w:color w:val="000000"/>
                <w:kern w:val="0"/>
              </w:rPr>
            </w:pPr>
            <w:r>
              <w:rPr>
                <w:rFonts w:hint="eastAsia" w:eastAsia="仿宋_GB2312" w:cs="仿宋_GB2312"/>
                <w:color w:val="000000"/>
                <w:kern w:val="0"/>
              </w:rPr>
              <w:t>︶</w:t>
            </w:r>
          </w:p>
        </w:tc>
        <w:tc>
          <w:tcPr>
            <w:tcW w:w="4625" w:type="dxa"/>
            <w:tcBorders>
              <w:top w:val="single" w:color="000000" w:sz="4" w:space="0"/>
              <w:left w:val="single" w:color="000000" w:sz="4" w:space="0"/>
              <w:bottom w:val="single" w:color="000000" w:sz="4" w:space="0"/>
              <w:right w:val="single" w:color="auto" w:sz="4" w:space="0"/>
            </w:tcBorders>
            <w:noWrap/>
            <w:vAlign w:val="center"/>
          </w:tcPr>
          <w:p>
            <w:pPr>
              <w:widowControl/>
              <w:spacing w:line="200" w:lineRule="exact"/>
              <w:rPr>
                <w:rFonts w:eastAsia="仿宋_GB2312"/>
                <w:color w:val="000000"/>
                <w:kern w:val="0"/>
              </w:rPr>
            </w:pPr>
            <w:r>
              <w:rPr>
                <w:rFonts w:hint="eastAsia" w:eastAsia="仿宋_GB2312" w:cs="仿宋_GB2312"/>
                <w:color w:val="000000"/>
                <w:kern w:val="0"/>
              </w:rPr>
              <w:t>村内公共场所、道路、池塘等干净、整洁，无乱堆、乱扔垃圾。按规范设置垃圾桶洗涤场所。</w:t>
            </w:r>
          </w:p>
        </w:tc>
        <w:tc>
          <w:tcPr>
            <w:tcW w:w="456" w:type="dxa"/>
            <w:tcBorders>
              <w:top w:val="single" w:color="000000" w:sz="4" w:space="0"/>
              <w:left w:val="single" w:color="auto" w:sz="4" w:space="0"/>
              <w:bottom w:val="single" w:color="000000" w:sz="4" w:space="0"/>
              <w:right w:val="single" w:color="000000" w:sz="4" w:space="0"/>
            </w:tcBorders>
            <w:noWrap/>
            <w:vAlign w:val="center"/>
          </w:tcPr>
          <w:p>
            <w:pPr>
              <w:widowControl/>
              <w:spacing w:line="200" w:lineRule="exact"/>
              <w:jc w:val="center"/>
              <w:rPr>
                <w:rFonts w:eastAsia="仿宋_GB2312"/>
                <w:color w:val="000000"/>
                <w:kern w:val="0"/>
              </w:rPr>
            </w:pPr>
            <w:r>
              <w:rPr>
                <w:rFonts w:eastAsia="仿宋_GB2312"/>
                <w:color w:val="000000"/>
                <w:kern w:val="0"/>
              </w:rPr>
              <w:t>5</w:t>
            </w:r>
          </w:p>
        </w:tc>
        <w:tc>
          <w:tcPr>
            <w:tcW w:w="3552"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kern w:val="0"/>
              </w:rPr>
            </w:pPr>
            <w:r>
              <w:rPr>
                <w:rFonts w:hint="eastAsia" w:eastAsia="仿宋_GB2312" w:cs="仿宋_GB2312"/>
                <w:color w:val="000000"/>
                <w:kern w:val="0"/>
              </w:rPr>
              <w:t>发现明显垃圾堆的，每处扣</w:t>
            </w:r>
            <w:r>
              <w:rPr>
                <w:rFonts w:eastAsia="仿宋_GB2312"/>
                <w:color w:val="000000"/>
                <w:kern w:val="0"/>
              </w:rPr>
              <w:t>2</w:t>
            </w:r>
            <w:r>
              <w:rPr>
                <w:rFonts w:hint="eastAsia" w:eastAsia="仿宋_GB2312" w:cs="仿宋_GB2312"/>
                <w:color w:val="000000"/>
                <w:kern w:val="0"/>
              </w:rPr>
              <w:t>分，扣完为止，未按规范设置垃圾桶洗涤场所扣</w:t>
            </w:r>
            <w:r>
              <w:rPr>
                <w:rFonts w:eastAsia="仿宋_GB2312"/>
                <w:color w:val="000000"/>
                <w:kern w:val="0"/>
              </w:rPr>
              <w:t>3</w:t>
            </w:r>
            <w:r>
              <w:rPr>
                <w:rFonts w:hint="eastAsia" w:eastAsia="仿宋_GB2312" w:cs="仿宋_GB2312"/>
                <w:color w:val="000000"/>
                <w:kern w:val="0"/>
              </w:rPr>
              <w:t>分。</w:t>
            </w:r>
          </w:p>
        </w:tc>
        <w:tc>
          <w:tcPr>
            <w:tcW w:w="408" w:type="dxa"/>
            <w:tcBorders>
              <w:top w:val="single" w:color="000000" w:sz="4" w:space="0"/>
              <w:left w:val="single" w:color="auto" w:sz="4" w:space="0"/>
              <w:bottom w:val="single" w:color="000000" w:sz="4" w:space="0"/>
              <w:right w:val="single" w:color="auto" w:sz="4" w:space="0"/>
            </w:tcBorders>
            <w:noWrap/>
            <w:tcMar>
              <w:top w:w="28" w:type="dxa"/>
              <w:left w:w="57" w:type="dxa"/>
              <w:bottom w:w="28" w:type="dxa"/>
              <w:right w:w="57" w:type="dxa"/>
            </w:tcMar>
            <w:vAlign w:val="center"/>
          </w:tcPr>
          <w:p>
            <w:pPr>
              <w:widowControl/>
              <w:spacing w:line="220" w:lineRule="exact"/>
              <w:jc w:val="center"/>
              <w:rPr>
                <w:rFonts w:eastAsia="仿宋_GB2312"/>
                <w:color w:val="000000"/>
                <w:kern w:val="0"/>
              </w:rPr>
            </w:pPr>
          </w:p>
        </w:tc>
        <w:tc>
          <w:tcPr>
            <w:tcW w:w="396" w:type="dxa"/>
            <w:tcBorders>
              <w:top w:val="single" w:color="000000" w:sz="4" w:space="0"/>
              <w:left w:val="single" w:color="auto" w:sz="4" w:space="0"/>
              <w:bottom w:val="single" w:color="000000" w:sz="4" w:space="0"/>
              <w:right w:val="single" w:color="auto" w:sz="4" w:space="0"/>
            </w:tcBorders>
            <w:noWrap/>
            <w:vAlign w:val="center"/>
          </w:tcPr>
          <w:p>
            <w:pPr>
              <w:widowControl/>
              <w:spacing w:line="220" w:lineRule="exact"/>
              <w:jc w:val="center"/>
              <w:rPr>
                <w:rFonts w:eastAsia="仿宋_GB2312"/>
                <w:color w:val="000000"/>
                <w:kern w:val="0"/>
              </w:rPr>
            </w:pPr>
          </w:p>
        </w:tc>
        <w:tc>
          <w:tcPr>
            <w:tcW w:w="421" w:type="dxa"/>
            <w:tcBorders>
              <w:top w:val="single" w:color="000000" w:sz="4" w:space="0"/>
              <w:left w:val="single" w:color="auto"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r>
      <w:tr>
        <w:tblPrEx>
          <w:tblCellMar>
            <w:top w:w="0" w:type="dxa"/>
            <w:left w:w="108" w:type="dxa"/>
            <w:bottom w:w="0" w:type="dxa"/>
            <w:right w:w="108" w:type="dxa"/>
          </w:tblCellMar>
        </w:tblPrEx>
        <w:trPr>
          <w:trHeight w:val="482" w:hRule="atLeast"/>
          <w:jc w:val="center"/>
        </w:trPr>
        <w:tc>
          <w:tcPr>
            <w:tcW w:w="80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c>
          <w:tcPr>
            <w:tcW w:w="4625"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kern w:val="0"/>
              </w:rPr>
            </w:pPr>
            <w:r>
              <w:rPr>
                <w:rFonts w:hint="eastAsia" w:eastAsia="仿宋_GB2312" w:cs="仿宋_GB2312"/>
                <w:color w:val="000000"/>
                <w:kern w:val="0"/>
              </w:rPr>
              <w:t>无垃圾坑、简易垃圾房等非正规垃圾堆放点，农户房前</w:t>
            </w:r>
            <w:r>
              <w:rPr>
                <w:rFonts w:hint="eastAsia" w:ascii="仿宋_GB2312" w:eastAsia="仿宋_GB2312" w:cs="仿宋_GB2312"/>
                <w:color w:val="000000"/>
                <w:kern w:val="0"/>
              </w:rPr>
              <w:t>屋后</w:t>
            </w:r>
            <w:r>
              <w:rPr>
                <w:rFonts w:hint="eastAsia" w:ascii="仿宋_GB2312" w:eastAsia="仿宋_GB2312"/>
                <w:color w:val="000000"/>
                <w:kern w:val="0"/>
              </w:rPr>
              <w:t>“</w:t>
            </w:r>
            <w:r>
              <w:rPr>
                <w:rFonts w:hint="eastAsia" w:ascii="仿宋_GB2312" w:eastAsia="仿宋_GB2312" w:cs="仿宋_GB2312"/>
                <w:color w:val="000000"/>
                <w:kern w:val="0"/>
              </w:rPr>
              <w:t>门前五包</w:t>
            </w:r>
            <w:r>
              <w:rPr>
                <w:rFonts w:hint="eastAsia" w:ascii="仿宋_GB2312" w:eastAsia="仿宋_GB2312"/>
                <w:color w:val="000000"/>
                <w:kern w:val="0"/>
              </w:rPr>
              <w:t>”</w:t>
            </w:r>
            <w:r>
              <w:rPr>
                <w:rFonts w:hint="eastAsia" w:ascii="仿宋_GB2312" w:eastAsia="仿宋_GB2312" w:cs="仿宋_GB2312"/>
                <w:color w:val="000000"/>
                <w:kern w:val="0"/>
              </w:rPr>
              <w:t>责</w:t>
            </w:r>
            <w:r>
              <w:rPr>
                <w:rFonts w:hint="eastAsia" w:eastAsia="仿宋_GB2312" w:cs="仿宋_GB2312"/>
                <w:color w:val="000000"/>
                <w:kern w:val="0"/>
              </w:rPr>
              <w:t>任到位。</w:t>
            </w:r>
          </w:p>
        </w:tc>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center"/>
              <w:rPr>
                <w:rFonts w:eastAsia="仿宋_GB2312"/>
                <w:color w:val="000000"/>
                <w:kern w:val="0"/>
              </w:rPr>
            </w:pPr>
            <w:r>
              <w:rPr>
                <w:rFonts w:eastAsia="仿宋_GB2312"/>
                <w:color w:val="000000"/>
                <w:kern w:val="0"/>
              </w:rPr>
              <w:t>5</w:t>
            </w:r>
          </w:p>
        </w:tc>
        <w:tc>
          <w:tcPr>
            <w:tcW w:w="3552"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kern w:val="0"/>
              </w:rPr>
            </w:pPr>
            <w:r>
              <w:rPr>
                <w:rFonts w:hint="eastAsia" w:eastAsia="仿宋_GB2312" w:cs="仿宋_GB2312"/>
                <w:color w:val="000000"/>
                <w:kern w:val="0"/>
              </w:rPr>
              <w:t>发现一处扣</w:t>
            </w:r>
            <w:r>
              <w:rPr>
                <w:rFonts w:eastAsia="仿宋_GB2312"/>
                <w:color w:val="000000"/>
                <w:kern w:val="0"/>
              </w:rPr>
              <w:t>2</w:t>
            </w:r>
            <w:r>
              <w:rPr>
                <w:rFonts w:hint="eastAsia" w:eastAsia="仿宋_GB2312" w:cs="仿宋_GB2312"/>
                <w:color w:val="000000"/>
                <w:kern w:val="0"/>
              </w:rPr>
              <w:t>分，扣完为止</w:t>
            </w:r>
          </w:p>
        </w:tc>
        <w:tc>
          <w:tcPr>
            <w:tcW w:w="408" w:type="dxa"/>
            <w:tcBorders>
              <w:top w:val="single" w:color="000000" w:sz="4" w:space="0"/>
              <w:left w:val="single" w:color="auto" w:sz="4" w:space="0"/>
              <w:bottom w:val="single" w:color="000000" w:sz="4" w:space="0"/>
              <w:right w:val="single" w:color="auto" w:sz="4" w:space="0"/>
            </w:tcBorders>
            <w:noWrap/>
            <w:tcMar>
              <w:top w:w="28" w:type="dxa"/>
              <w:left w:w="57" w:type="dxa"/>
              <w:bottom w:w="28" w:type="dxa"/>
              <w:right w:w="57" w:type="dxa"/>
            </w:tcMar>
            <w:vAlign w:val="center"/>
          </w:tcPr>
          <w:p>
            <w:pPr>
              <w:widowControl/>
              <w:spacing w:line="220" w:lineRule="exact"/>
              <w:jc w:val="center"/>
              <w:rPr>
                <w:rFonts w:eastAsia="仿宋_GB2312"/>
                <w:color w:val="000000"/>
                <w:kern w:val="0"/>
              </w:rPr>
            </w:pPr>
          </w:p>
        </w:tc>
        <w:tc>
          <w:tcPr>
            <w:tcW w:w="396" w:type="dxa"/>
            <w:tcBorders>
              <w:top w:val="single" w:color="000000" w:sz="4" w:space="0"/>
              <w:left w:val="single" w:color="auto" w:sz="4" w:space="0"/>
              <w:bottom w:val="single" w:color="000000" w:sz="4" w:space="0"/>
              <w:right w:val="single" w:color="auto" w:sz="4" w:space="0"/>
            </w:tcBorders>
            <w:noWrap/>
            <w:vAlign w:val="center"/>
          </w:tcPr>
          <w:p>
            <w:pPr>
              <w:widowControl/>
              <w:spacing w:line="220" w:lineRule="exact"/>
              <w:jc w:val="center"/>
              <w:rPr>
                <w:rFonts w:eastAsia="仿宋_GB2312"/>
                <w:color w:val="000000"/>
                <w:kern w:val="0"/>
              </w:rPr>
            </w:pPr>
          </w:p>
        </w:tc>
        <w:tc>
          <w:tcPr>
            <w:tcW w:w="421" w:type="dxa"/>
            <w:tcBorders>
              <w:top w:val="single" w:color="000000" w:sz="4" w:space="0"/>
              <w:left w:val="single" w:color="auto"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r>
      <w:tr>
        <w:tblPrEx>
          <w:tblCellMar>
            <w:top w:w="0" w:type="dxa"/>
            <w:left w:w="108" w:type="dxa"/>
            <w:bottom w:w="0" w:type="dxa"/>
            <w:right w:w="108" w:type="dxa"/>
          </w:tblCellMar>
        </w:tblPrEx>
        <w:trPr>
          <w:trHeight w:val="496" w:hRule="atLeast"/>
          <w:jc w:val="center"/>
        </w:trPr>
        <w:tc>
          <w:tcPr>
            <w:tcW w:w="804" w:type="dxa"/>
            <w:vMerge w:val="restart"/>
            <w:tcBorders>
              <w:top w:val="single" w:color="auto" w:sz="4" w:space="0"/>
              <w:left w:val="single" w:color="000000" w:sz="4" w:space="0"/>
              <w:right w:val="single" w:color="000000" w:sz="4" w:space="0"/>
            </w:tcBorders>
            <w:noWrap/>
            <w:vAlign w:val="center"/>
          </w:tcPr>
          <w:p>
            <w:pPr>
              <w:widowControl/>
              <w:spacing w:line="220" w:lineRule="exact"/>
              <w:jc w:val="center"/>
              <w:rPr>
                <w:rFonts w:eastAsia="仿宋_GB2312"/>
                <w:color w:val="000000"/>
                <w:kern w:val="0"/>
              </w:rPr>
            </w:pPr>
            <w:r>
              <w:rPr>
                <w:rFonts w:hint="eastAsia" w:eastAsia="仿宋_GB2312" w:cs="仿宋_GB2312"/>
                <w:color w:val="000000"/>
                <w:kern w:val="0"/>
              </w:rPr>
              <w:t>特色工作</w:t>
            </w:r>
          </w:p>
          <w:p>
            <w:pPr>
              <w:widowControl/>
              <w:spacing w:line="220" w:lineRule="exact"/>
              <w:jc w:val="center"/>
              <w:rPr>
                <w:rFonts w:eastAsia="仿宋_GB2312"/>
                <w:color w:val="000000"/>
                <w:kern w:val="0"/>
              </w:rPr>
            </w:pPr>
            <w:r>
              <w:rPr>
                <w:rFonts w:hint="eastAsia" w:eastAsia="仿宋_GB2312" w:cs="仿宋_GB2312"/>
                <w:color w:val="000000"/>
                <w:kern w:val="0"/>
              </w:rPr>
              <w:t>︵</w:t>
            </w:r>
          </w:p>
          <w:p>
            <w:pPr>
              <w:widowControl/>
              <w:spacing w:line="220" w:lineRule="exact"/>
              <w:jc w:val="center"/>
              <w:rPr>
                <w:rFonts w:eastAsia="仿宋_GB2312"/>
                <w:color w:val="000000"/>
                <w:kern w:val="0"/>
              </w:rPr>
            </w:pPr>
            <w:r>
              <w:rPr>
                <w:rFonts w:eastAsia="仿宋_GB2312"/>
                <w:color w:val="000000"/>
                <w:kern w:val="0"/>
              </w:rPr>
              <w:t>20</w:t>
            </w:r>
            <w:r>
              <w:rPr>
                <w:rFonts w:hint="eastAsia" w:eastAsia="仿宋_GB2312" w:cs="仿宋_GB2312"/>
                <w:color w:val="000000"/>
                <w:kern w:val="0"/>
              </w:rPr>
              <w:t>分</w:t>
            </w:r>
          </w:p>
          <w:p>
            <w:pPr>
              <w:widowControl/>
              <w:spacing w:line="220" w:lineRule="exact"/>
              <w:jc w:val="center"/>
              <w:rPr>
                <w:rFonts w:eastAsia="仿宋_GB2312"/>
                <w:color w:val="000000"/>
                <w:kern w:val="0"/>
              </w:rPr>
            </w:pPr>
            <w:r>
              <w:rPr>
                <w:rFonts w:hint="eastAsia" w:eastAsia="仿宋_GB2312" w:cs="仿宋_GB2312"/>
                <w:color w:val="000000"/>
                <w:kern w:val="0"/>
              </w:rPr>
              <w:t>︶</w:t>
            </w:r>
          </w:p>
        </w:tc>
        <w:tc>
          <w:tcPr>
            <w:tcW w:w="4625"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kern w:val="0"/>
              </w:rPr>
            </w:pPr>
            <w:r>
              <w:rPr>
                <w:rFonts w:hint="eastAsia" w:eastAsia="仿宋_GB2312" w:cs="仿宋_GB2312"/>
                <w:color w:val="000000"/>
                <w:kern w:val="0"/>
              </w:rPr>
              <w:t>建立一个农村生活垃圾分类积分兑换超市（点），并要求正常运行。</w:t>
            </w:r>
          </w:p>
        </w:tc>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center"/>
              <w:rPr>
                <w:rFonts w:eastAsia="仿宋_GB2312"/>
                <w:color w:val="000000"/>
                <w:kern w:val="0"/>
              </w:rPr>
            </w:pPr>
            <w:r>
              <w:rPr>
                <w:rFonts w:eastAsia="仿宋_GB2312"/>
                <w:color w:val="000000"/>
                <w:kern w:val="0"/>
              </w:rPr>
              <w:t>10</w:t>
            </w:r>
          </w:p>
        </w:tc>
        <w:tc>
          <w:tcPr>
            <w:tcW w:w="3552"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kern w:val="0"/>
              </w:rPr>
            </w:pPr>
            <w:r>
              <w:rPr>
                <w:rFonts w:hint="eastAsia" w:eastAsia="仿宋_GB2312" w:cs="仿宋_GB2312"/>
                <w:color w:val="000000"/>
                <w:kern w:val="0"/>
              </w:rPr>
              <w:t>未建立的扣</w:t>
            </w:r>
            <w:r>
              <w:rPr>
                <w:rFonts w:eastAsia="仿宋_GB2312"/>
                <w:color w:val="000000"/>
                <w:kern w:val="0"/>
              </w:rPr>
              <w:t>10</w:t>
            </w:r>
            <w:r>
              <w:rPr>
                <w:rFonts w:hint="eastAsia" w:eastAsia="仿宋_GB2312" w:cs="仿宋_GB2312"/>
                <w:color w:val="000000"/>
                <w:kern w:val="0"/>
              </w:rPr>
              <w:t>分，未正常运行的扣</w:t>
            </w:r>
            <w:r>
              <w:rPr>
                <w:rFonts w:eastAsia="仿宋_GB2312"/>
                <w:color w:val="000000"/>
                <w:kern w:val="0"/>
              </w:rPr>
              <w:t>5</w:t>
            </w:r>
            <w:r>
              <w:rPr>
                <w:rFonts w:hint="eastAsia" w:eastAsia="仿宋_GB2312" w:cs="仿宋_GB2312"/>
                <w:color w:val="000000"/>
                <w:kern w:val="0"/>
              </w:rPr>
              <w:t>分。</w:t>
            </w:r>
          </w:p>
        </w:tc>
        <w:tc>
          <w:tcPr>
            <w:tcW w:w="408" w:type="dxa"/>
            <w:tcBorders>
              <w:top w:val="single" w:color="000000" w:sz="4" w:space="0"/>
              <w:left w:val="single" w:color="auto" w:sz="4" w:space="0"/>
              <w:bottom w:val="single" w:color="000000" w:sz="4" w:space="0"/>
              <w:right w:val="single" w:color="auto" w:sz="4" w:space="0"/>
            </w:tcBorders>
            <w:noWrap/>
            <w:tcMar>
              <w:top w:w="28" w:type="dxa"/>
              <w:left w:w="57" w:type="dxa"/>
              <w:bottom w:w="28" w:type="dxa"/>
              <w:right w:w="57" w:type="dxa"/>
            </w:tcMar>
            <w:vAlign w:val="center"/>
          </w:tcPr>
          <w:p>
            <w:pPr>
              <w:widowControl/>
              <w:spacing w:line="220" w:lineRule="exact"/>
              <w:jc w:val="center"/>
              <w:rPr>
                <w:rFonts w:eastAsia="仿宋_GB2312"/>
                <w:color w:val="000000"/>
                <w:kern w:val="0"/>
              </w:rPr>
            </w:pPr>
          </w:p>
        </w:tc>
        <w:tc>
          <w:tcPr>
            <w:tcW w:w="396" w:type="dxa"/>
            <w:tcBorders>
              <w:top w:val="single" w:color="000000" w:sz="4" w:space="0"/>
              <w:left w:val="single" w:color="auto" w:sz="4" w:space="0"/>
              <w:bottom w:val="single" w:color="000000" w:sz="4" w:space="0"/>
              <w:right w:val="single" w:color="auto" w:sz="4" w:space="0"/>
            </w:tcBorders>
            <w:noWrap/>
            <w:vAlign w:val="center"/>
          </w:tcPr>
          <w:p>
            <w:pPr>
              <w:widowControl/>
              <w:spacing w:line="220" w:lineRule="exact"/>
              <w:jc w:val="center"/>
              <w:rPr>
                <w:rFonts w:eastAsia="仿宋_GB2312"/>
                <w:color w:val="000000"/>
                <w:kern w:val="0"/>
              </w:rPr>
            </w:pPr>
          </w:p>
        </w:tc>
        <w:tc>
          <w:tcPr>
            <w:tcW w:w="421" w:type="dxa"/>
            <w:tcBorders>
              <w:top w:val="single" w:color="000000" w:sz="4" w:space="0"/>
              <w:left w:val="single" w:color="auto"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r>
      <w:tr>
        <w:tblPrEx>
          <w:tblCellMar>
            <w:top w:w="0" w:type="dxa"/>
            <w:left w:w="108" w:type="dxa"/>
            <w:bottom w:w="0" w:type="dxa"/>
            <w:right w:w="108" w:type="dxa"/>
          </w:tblCellMar>
        </w:tblPrEx>
        <w:trPr>
          <w:trHeight w:val="634" w:hRule="atLeast"/>
          <w:jc w:val="center"/>
        </w:trPr>
        <w:tc>
          <w:tcPr>
            <w:tcW w:w="804" w:type="dxa"/>
            <w:vMerge w:val="continue"/>
            <w:tcBorders>
              <w:left w:val="single" w:color="000000" w:sz="4" w:space="0"/>
              <w:bottom w:val="single" w:color="auto" w:sz="4" w:space="0"/>
              <w:right w:val="single" w:color="000000" w:sz="4" w:space="0"/>
            </w:tcBorders>
            <w:noWrap/>
            <w:vAlign w:val="center"/>
          </w:tcPr>
          <w:p>
            <w:pPr>
              <w:widowControl/>
              <w:spacing w:line="220" w:lineRule="exact"/>
              <w:jc w:val="left"/>
              <w:rPr>
                <w:rFonts w:eastAsia="仿宋_GB2312"/>
                <w:color w:val="000000"/>
                <w:kern w:val="0"/>
              </w:rPr>
            </w:pPr>
          </w:p>
        </w:tc>
        <w:tc>
          <w:tcPr>
            <w:tcW w:w="4625" w:type="dxa"/>
            <w:tcBorders>
              <w:top w:val="single" w:color="000000" w:sz="4" w:space="0"/>
              <w:left w:val="single" w:color="000000" w:sz="4" w:space="0"/>
              <w:bottom w:val="single" w:color="auto" w:sz="4" w:space="0"/>
              <w:right w:val="single" w:color="000000" w:sz="4" w:space="0"/>
            </w:tcBorders>
            <w:noWrap/>
            <w:vAlign w:val="center"/>
          </w:tcPr>
          <w:p>
            <w:pPr>
              <w:widowControl/>
              <w:spacing w:line="200" w:lineRule="exact"/>
              <w:rPr>
                <w:rFonts w:eastAsia="仿宋_GB2312"/>
                <w:color w:val="000000"/>
                <w:kern w:val="0"/>
              </w:rPr>
            </w:pPr>
            <w:r>
              <w:rPr>
                <w:rFonts w:hint="eastAsia" w:eastAsia="仿宋_GB2312" w:cs="仿宋_GB2312"/>
                <w:color w:val="000000"/>
                <w:kern w:val="0"/>
              </w:rPr>
              <w:t>建立一个可回收垃圾及有害垃圾集中收集存放点，并落实专门管理人员。</w:t>
            </w:r>
          </w:p>
        </w:tc>
        <w:tc>
          <w:tcPr>
            <w:tcW w:w="456" w:type="dxa"/>
            <w:tcBorders>
              <w:top w:val="single" w:color="000000" w:sz="4" w:space="0"/>
              <w:left w:val="single" w:color="000000" w:sz="4" w:space="0"/>
              <w:bottom w:val="single" w:color="auto" w:sz="4" w:space="0"/>
              <w:right w:val="single" w:color="000000" w:sz="4" w:space="0"/>
            </w:tcBorders>
            <w:noWrap/>
            <w:vAlign w:val="center"/>
          </w:tcPr>
          <w:p>
            <w:pPr>
              <w:widowControl/>
              <w:spacing w:line="200" w:lineRule="exact"/>
              <w:jc w:val="center"/>
              <w:rPr>
                <w:rFonts w:eastAsia="仿宋_GB2312"/>
                <w:color w:val="000000"/>
                <w:kern w:val="0"/>
              </w:rPr>
            </w:pPr>
            <w:r>
              <w:rPr>
                <w:rFonts w:eastAsia="仿宋_GB2312"/>
                <w:color w:val="000000"/>
                <w:kern w:val="0"/>
              </w:rPr>
              <w:t>10</w:t>
            </w:r>
          </w:p>
        </w:tc>
        <w:tc>
          <w:tcPr>
            <w:tcW w:w="3552" w:type="dxa"/>
            <w:tcBorders>
              <w:top w:val="single" w:color="000000" w:sz="4" w:space="0"/>
              <w:left w:val="single" w:color="000000" w:sz="4" w:space="0"/>
              <w:bottom w:val="single" w:color="auto" w:sz="4" w:space="0"/>
              <w:right w:val="single" w:color="000000" w:sz="4" w:space="0"/>
            </w:tcBorders>
            <w:noWrap/>
            <w:vAlign w:val="center"/>
          </w:tcPr>
          <w:p>
            <w:pPr>
              <w:widowControl/>
              <w:spacing w:line="200" w:lineRule="exact"/>
              <w:rPr>
                <w:rFonts w:eastAsia="仿宋_GB2312"/>
                <w:color w:val="000000"/>
                <w:kern w:val="0"/>
              </w:rPr>
            </w:pPr>
            <w:r>
              <w:rPr>
                <w:rFonts w:hint="eastAsia" w:eastAsia="仿宋_GB2312" w:cs="仿宋_GB2312"/>
                <w:color w:val="000000"/>
                <w:kern w:val="0"/>
              </w:rPr>
              <w:t>未建立的扣</w:t>
            </w:r>
            <w:r>
              <w:rPr>
                <w:rFonts w:eastAsia="仿宋_GB2312"/>
                <w:color w:val="000000"/>
                <w:kern w:val="0"/>
              </w:rPr>
              <w:t>10</w:t>
            </w:r>
            <w:r>
              <w:rPr>
                <w:rFonts w:hint="eastAsia" w:eastAsia="仿宋_GB2312" w:cs="仿宋_GB2312"/>
                <w:color w:val="000000"/>
                <w:kern w:val="0"/>
              </w:rPr>
              <w:t>分，无专人负责管理的扣</w:t>
            </w:r>
            <w:r>
              <w:rPr>
                <w:rFonts w:eastAsia="仿宋_GB2312"/>
                <w:color w:val="000000"/>
                <w:kern w:val="0"/>
              </w:rPr>
              <w:t>5</w:t>
            </w:r>
            <w:r>
              <w:rPr>
                <w:rFonts w:hint="eastAsia" w:eastAsia="仿宋_GB2312" w:cs="仿宋_GB2312"/>
                <w:color w:val="000000"/>
                <w:kern w:val="0"/>
              </w:rPr>
              <w:t>分。</w:t>
            </w:r>
          </w:p>
        </w:tc>
        <w:tc>
          <w:tcPr>
            <w:tcW w:w="408" w:type="dxa"/>
            <w:tcBorders>
              <w:top w:val="single" w:color="000000" w:sz="4" w:space="0"/>
              <w:left w:val="single" w:color="auto" w:sz="4" w:space="0"/>
              <w:bottom w:val="single" w:color="auto" w:sz="4" w:space="0"/>
              <w:right w:val="single" w:color="auto" w:sz="4" w:space="0"/>
            </w:tcBorders>
            <w:noWrap/>
            <w:tcMar>
              <w:top w:w="28" w:type="dxa"/>
              <w:left w:w="57" w:type="dxa"/>
              <w:bottom w:w="28" w:type="dxa"/>
              <w:right w:w="57" w:type="dxa"/>
            </w:tcMar>
            <w:vAlign w:val="center"/>
          </w:tcPr>
          <w:p>
            <w:pPr>
              <w:widowControl/>
              <w:spacing w:line="220" w:lineRule="exact"/>
              <w:jc w:val="center"/>
              <w:rPr>
                <w:rFonts w:eastAsia="仿宋_GB2312"/>
                <w:color w:val="000000"/>
                <w:kern w:val="0"/>
              </w:rPr>
            </w:pPr>
          </w:p>
        </w:tc>
        <w:tc>
          <w:tcPr>
            <w:tcW w:w="396" w:type="dxa"/>
            <w:tcBorders>
              <w:top w:val="single" w:color="000000" w:sz="4" w:space="0"/>
              <w:left w:val="single" w:color="auto" w:sz="4" w:space="0"/>
              <w:bottom w:val="single" w:color="auto" w:sz="4" w:space="0"/>
              <w:right w:val="single" w:color="auto" w:sz="4" w:space="0"/>
            </w:tcBorders>
            <w:noWrap/>
            <w:vAlign w:val="center"/>
          </w:tcPr>
          <w:p>
            <w:pPr>
              <w:widowControl/>
              <w:spacing w:line="220" w:lineRule="exact"/>
              <w:jc w:val="center"/>
              <w:rPr>
                <w:rFonts w:eastAsia="仿宋_GB2312"/>
                <w:color w:val="000000"/>
                <w:kern w:val="0"/>
              </w:rPr>
            </w:pPr>
          </w:p>
        </w:tc>
        <w:tc>
          <w:tcPr>
            <w:tcW w:w="421" w:type="dxa"/>
            <w:tcBorders>
              <w:top w:val="single" w:color="000000" w:sz="4" w:space="0"/>
              <w:left w:val="single" w:color="auto" w:sz="4" w:space="0"/>
              <w:bottom w:val="single" w:color="auto" w:sz="4" w:space="0"/>
              <w:right w:val="single" w:color="000000" w:sz="4" w:space="0"/>
            </w:tcBorders>
            <w:noWrap/>
            <w:vAlign w:val="center"/>
          </w:tcPr>
          <w:p>
            <w:pPr>
              <w:widowControl/>
              <w:spacing w:line="220" w:lineRule="exact"/>
              <w:jc w:val="center"/>
              <w:rPr>
                <w:rFonts w:eastAsia="仿宋_GB2312"/>
                <w:color w:val="000000"/>
                <w:kern w:val="0"/>
              </w:rPr>
            </w:pPr>
          </w:p>
        </w:tc>
      </w:tr>
      <w:tr>
        <w:tblPrEx>
          <w:tblCellMar>
            <w:top w:w="0" w:type="dxa"/>
            <w:left w:w="108" w:type="dxa"/>
            <w:bottom w:w="0" w:type="dxa"/>
            <w:right w:w="108" w:type="dxa"/>
          </w:tblCellMar>
        </w:tblPrEx>
        <w:trPr>
          <w:trHeight w:val="284" w:hRule="atLeast"/>
          <w:jc w:val="center"/>
        </w:trPr>
        <w:tc>
          <w:tcPr>
            <w:tcW w:w="804" w:type="dxa"/>
            <w:tcBorders>
              <w:top w:val="single" w:color="auto" w:sz="4" w:space="0"/>
              <w:left w:val="single" w:color="000000"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c>
          <w:tcPr>
            <w:tcW w:w="4625" w:type="dxa"/>
            <w:tcBorders>
              <w:top w:val="single" w:color="auto"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kern w:val="0"/>
              </w:rPr>
            </w:pPr>
            <w:r>
              <w:rPr>
                <w:rFonts w:hint="eastAsia" w:eastAsia="仿宋_GB2312" w:cs="仿宋_GB2312"/>
                <w:color w:val="000000"/>
                <w:kern w:val="0"/>
              </w:rPr>
              <w:t>其他特色亮点工作</w:t>
            </w:r>
          </w:p>
        </w:tc>
        <w:tc>
          <w:tcPr>
            <w:tcW w:w="456" w:type="dxa"/>
            <w:tcBorders>
              <w:top w:val="single" w:color="auto" w:sz="4" w:space="0"/>
              <w:left w:val="single" w:color="000000" w:sz="4" w:space="0"/>
              <w:bottom w:val="single" w:color="000000" w:sz="4" w:space="0"/>
              <w:right w:val="single" w:color="000000" w:sz="4" w:space="0"/>
            </w:tcBorders>
            <w:noWrap/>
            <w:vAlign w:val="center"/>
          </w:tcPr>
          <w:p>
            <w:pPr>
              <w:widowControl/>
              <w:spacing w:line="200" w:lineRule="exact"/>
              <w:jc w:val="center"/>
              <w:rPr>
                <w:rFonts w:eastAsia="仿宋_GB2312"/>
                <w:color w:val="000000"/>
                <w:kern w:val="0"/>
              </w:rPr>
            </w:pPr>
          </w:p>
        </w:tc>
        <w:tc>
          <w:tcPr>
            <w:tcW w:w="3552" w:type="dxa"/>
            <w:tcBorders>
              <w:top w:val="single" w:color="auto"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kern w:val="0"/>
              </w:rPr>
            </w:pPr>
            <w:r>
              <w:rPr>
                <w:rFonts w:hint="eastAsia" w:eastAsia="仿宋_GB2312" w:cs="仿宋_GB2312"/>
                <w:color w:val="000000"/>
                <w:kern w:val="0"/>
              </w:rPr>
              <w:t>有特色亮点工作酌情加分</w:t>
            </w:r>
          </w:p>
        </w:tc>
        <w:tc>
          <w:tcPr>
            <w:tcW w:w="408" w:type="dxa"/>
            <w:tcBorders>
              <w:top w:val="single" w:color="auto" w:sz="4" w:space="0"/>
              <w:left w:val="single" w:color="auto" w:sz="4" w:space="0"/>
              <w:bottom w:val="single" w:color="000000" w:sz="4" w:space="0"/>
              <w:right w:val="single" w:color="auto" w:sz="4" w:space="0"/>
            </w:tcBorders>
            <w:noWrap/>
            <w:tcMar>
              <w:top w:w="28" w:type="dxa"/>
              <w:left w:w="57" w:type="dxa"/>
              <w:bottom w:w="28" w:type="dxa"/>
              <w:right w:w="57" w:type="dxa"/>
            </w:tcMar>
            <w:vAlign w:val="center"/>
          </w:tcPr>
          <w:p>
            <w:pPr>
              <w:widowControl/>
              <w:spacing w:line="220" w:lineRule="exact"/>
              <w:jc w:val="center"/>
              <w:rPr>
                <w:rFonts w:eastAsia="仿宋_GB2312"/>
                <w:color w:val="000000"/>
                <w:kern w:val="0"/>
              </w:rPr>
            </w:pPr>
          </w:p>
        </w:tc>
        <w:tc>
          <w:tcPr>
            <w:tcW w:w="396" w:type="dxa"/>
            <w:tcBorders>
              <w:top w:val="single" w:color="auto" w:sz="4" w:space="0"/>
              <w:left w:val="single" w:color="auto" w:sz="4" w:space="0"/>
              <w:bottom w:val="single" w:color="000000" w:sz="4" w:space="0"/>
              <w:right w:val="single" w:color="auto" w:sz="4" w:space="0"/>
            </w:tcBorders>
            <w:noWrap/>
            <w:vAlign w:val="center"/>
          </w:tcPr>
          <w:p>
            <w:pPr>
              <w:widowControl/>
              <w:spacing w:line="220" w:lineRule="exact"/>
              <w:jc w:val="center"/>
              <w:rPr>
                <w:rFonts w:eastAsia="仿宋_GB2312"/>
                <w:color w:val="000000"/>
                <w:kern w:val="0"/>
              </w:rPr>
            </w:pPr>
          </w:p>
        </w:tc>
        <w:tc>
          <w:tcPr>
            <w:tcW w:w="421" w:type="dxa"/>
            <w:tcBorders>
              <w:top w:val="single" w:color="auto" w:sz="4" w:space="0"/>
              <w:left w:val="single" w:color="auto" w:sz="4" w:space="0"/>
              <w:bottom w:val="single" w:color="000000" w:sz="4" w:space="0"/>
              <w:right w:val="single" w:color="000000" w:sz="4" w:space="0"/>
            </w:tcBorders>
            <w:noWrap/>
            <w:vAlign w:val="center"/>
          </w:tcPr>
          <w:p>
            <w:pPr>
              <w:widowControl/>
              <w:spacing w:line="220" w:lineRule="exact"/>
              <w:jc w:val="center"/>
              <w:rPr>
                <w:rFonts w:eastAsia="仿宋_GB2312"/>
                <w:color w:val="000000"/>
                <w:kern w:val="0"/>
              </w:rPr>
            </w:pPr>
          </w:p>
        </w:tc>
      </w:tr>
    </w:tbl>
    <w:p>
      <w:pPr>
        <w:spacing w:line="300" w:lineRule="exact"/>
        <w:rPr>
          <w:rFonts w:eastAsia="楷体_GB2312"/>
          <w:sz w:val="32"/>
          <w:szCs w:val="32"/>
        </w:rPr>
      </w:pPr>
      <w:r>
        <w:rPr>
          <w:rFonts w:hint="eastAsia" w:eastAsia="仿宋_GB2312" w:cs="仿宋_GB2312"/>
        </w:rPr>
        <w:t>注：</w:t>
      </w:r>
      <w:r>
        <w:rPr>
          <w:rFonts w:hint="eastAsia" w:ascii="仿宋_GB2312" w:eastAsia="仿宋_GB2312"/>
        </w:rPr>
        <w:t>“</w:t>
      </w:r>
      <w:r>
        <w:rPr>
          <w:rFonts w:hint="eastAsia" w:ascii="仿宋_GB2312" w:eastAsia="仿宋_GB2312" w:cs="仿宋_GB2312"/>
        </w:rPr>
        <w:t>垃圾分类</w:t>
      </w:r>
      <w:r>
        <w:rPr>
          <w:rFonts w:hint="eastAsia" w:ascii="仿宋_GB2312" w:eastAsia="仿宋_GB2312"/>
        </w:rPr>
        <w:t>”</w:t>
      </w:r>
      <w:r>
        <w:rPr>
          <w:rFonts w:hint="eastAsia" w:ascii="仿宋_GB2312" w:eastAsia="仿宋_GB2312" w:cs="仿宋_GB2312"/>
        </w:rPr>
        <w:t>项</w:t>
      </w:r>
      <w:r>
        <w:rPr>
          <w:rFonts w:hint="eastAsia" w:eastAsia="仿宋_GB2312" w:cs="仿宋_GB2312"/>
        </w:rPr>
        <w:t>得分不得低于</w:t>
      </w:r>
      <w:r>
        <w:rPr>
          <w:rFonts w:eastAsia="仿宋_GB2312"/>
        </w:rPr>
        <w:t>32</w:t>
      </w:r>
      <w:r>
        <w:rPr>
          <w:rFonts w:hint="eastAsia" w:eastAsia="仿宋_GB2312" w:cs="仿宋_GB2312"/>
        </w:rPr>
        <w:t>分，农户源头分类准确率不低于</w:t>
      </w:r>
      <w:r>
        <w:rPr>
          <w:rFonts w:eastAsia="仿宋_GB2312"/>
        </w:rPr>
        <w:t>90%</w:t>
      </w:r>
      <w:r>
        <w:rPr>
          <w:rFonts w:hint="eastAsia" w:eastAsia="仿宋_GB2312" w:cs="仿宋_GB2312"/>
        </w:rPr>
        <w:t>，党员干部户准确率</w:t>
      </w:r>
      <w:r>
        <w:rPr>
          <w:rFonts w:eastAsia="仿宋_GB2312"/>
        </w:rPr>
        <w:t>100%</w:t>
      </w:r>
      <w:r>
        <w:rPr>
          <w:rFonts w:hint="eastAsia" w:eastAsia="仿宋_GB2312" w:cs="仿宋_GB2312"/>
        </w:rPr>
        <w:t>。终端处理设施未使用、分拣员未分类收集运输的一票否决。</w:t>
      </w:r>
      <w:r>
        <w:rPr>
          <w:rFonts w:hint="eastAsia" w:ascii="仿宋_GB2312" w:eastAsia="仿宋_GB2312"/>
        </w:rPr>
        <w:t>“</w:t>
      </w:r>
      <w:r>
        <w:rPr>
          <w:rFonts w:hint="eastAsia" w:ascii="仿宋_GB2312" w:eastAsia="仿宋_GB2312" w:cs="仿宋_GB2312"/>
        </w:rPr>
        <w:t>特色工作</w:t>
      </w:r>
      <w:r>
        <w:rPr>
          <w:rFonts w:hint="eastAsia" w:ascii="仿宋_GB2312" w:eastAsia="仿宋_GB2312"/>
        </w:rPr>
        <w:t>”</w:t>
      </w:r>
      <w:r>
        <w:rPr>
          <w:rFonts w:hint="eastAsia" w:ascii="仿宋_GB2312" w:eastAsia="仿宋_GB2312" w:cs="仿宋_GB2312"/>
        </w:rPr>
        <w:t>项不</w:t>
      </w:r>
      <w:r>
        <w:rPr>
          <w:rFonts w:hint="eastAsia" w:eastAsia="仿宋_GB2312" w:cs="仿宋_GB2312"/>
        </w:rPr>
        <w:t>得低于</w:t>
      </w:r>
      <w:r>
        <w:rPr>
          <w:rFonts w:eastAsia="仿宋_GB2312"/>
        </w:rPr>
        <w:t>20</w:t>
      </w:r>
      <w:r>
        <w:rPr>
          <w:rFonts w:hint="eastAsia" w:eastAsia="仿宋_GB2312" w:cs="仿宋_GB2312"/>
        </w:rPr>
        <w:t>分。其他特色亮点工作采用加分制，最高不超过</w:t>
      </w:r>
      <w:r>
        <w:rPr>
          <w:rFonts w:eastAsia="仿宋_GB2312"/>
        </w:rPr>
        <w:t>5</w:t>
      </w:r>
      <w:r>
        <w:rPr>
          <w:rFonts w:hint="eastAsia" w:eastAsia="仿宋_GB2312" w:cs="仿宋_GB2312"/>
        </w:rPr>
        <w:t>分。</w:t>
      </w:r>
    </w:p>
    <w:p>
      <w:pPr>
        <w:spacing w:line="560" w:lineRule="exact"/>
        <w:rPr>
          <w:rFonts w:eastAsia="楷体_GB2312"/>
          <w:sz w:val="32"/>
          <w:szCs w:val="32"/>
        </w:rPr>
      </w:pPr>
      <w:r>
        <w:rPr>
          <w:rFonts w:eastAsia="黑体"/>
          <w:sz w:val="32"/>
          <w:szCs w:val="32"/>
        </w:rPr>
        <w:t>附件2</w:t>
      </w:r>
    </w:p>
    <w:p>
      <w:pPr>
        <w:spacing w:line="700" w:lineRule="exact"/>
        <w:jc w:val="center"/>
        <w:rPr>
          <w:rFonts w:hint="eastAsia" w:ascii="方正小标宋简体" w:eastAsia="方正小标宋简体" w:cs="方正小标宋简体"/>
          <w:spacing w:val="20"/>
          <w:sz w:val="44"/>
          <w:szCs w:val="44"/>
        </w:rPr>
      </w:pPr>
      <w:r>
        <w:rPr>
          <w:rFonts w:hint="eastAsia" w:ascii="方正小标宋简体" w:eastAsia="方正小标宋简体" w:cs="方正小标宋简体"/>
          <w:spacing w:val="20"/>
          <w:sz w:val="44"/>
          <w:szCs w:val="44"/>
        </w:rPr>
        <w:t>义乌市农村生活垃圾分类工作领导小组</w:t>
      </w:r>
    </w:p>
    <w:p>
      <w:pPr>
        <w:spacing w:line="700" w:lineRule="exact"/>
        <w:jc w:val="center"/>
        <w:rPr>
          <w:rFonts w:ascii="方正小标宋简体" w:eastAsia="方正小标宋简体"/>
          <w:spacing w:val="20"/>
          <w:sz w:val="44"/>
          <w:szCs w:val="44"/>
        </w:rPr>
      </w:pPr>
      <w:r>
        <w:rPr>
          <w:rFonts w:hint="eastAsia" w:ascii="方正小标宋简体" w:eastAsia="方正小标宋简体" w:cs="方正小标宋简体"/>
          <w:spacing w:val="20"/>
          <w:sz w:val="44"/>
          <w:szCs w:val="44"/>
        </w:rPr>
        <w:t>成员名单</w:t>
      </w:r>
    </w:p>
    <w:p>
      <w:pPr>
        <w:spacing w:line="600" w:lineRule="exact"/>
        <w:ind w:firstLine="616" w:firstLineChars="200"/>
        <w:rPr>
          <w:rFonts w:eastAsia="仿宋_GB2312"/>
          <w:bCs/>
          <w:spacing w:val="-6"/>
          <w:sz w:val="32"/>
          <w:szCs w:val="32"/>
        </w:rPr>
      </w:pPr>
    </w:p>
    <w:p>
      <w:pPr>
        <w:spacing w:line="590" w:lineRule="exact"/>
        <w:ind w:firstLine="616" w:firstLineChars="200"/>
        <w:rPr>
          <w:rFonts w:hint="eastAsia" w:eastAsia="仿宋_GB2312"/>
          <w:b/>
          <w:bCs/>
          <w:spacing w:val="-6"/>
          <w:sz w:val="32"/>
          <w:szCs w:val="32"/>
        </w:rPr>
      </w:pPr>
      <w:r>
        <w:rPr>
          <w:rFonts w:hint="eastAsia" w:eastAsia="仿宋_GB2312" w:cs="仿宋_GB2312"/>
          <w:spacing w:val="-6"/>
          <w:sz w:val="32"/>
          <w:szCs w:val="32"/>
        </w:rPr>
        <w:t>为进一步加强我市农村生活垃圾分类工作组织领导，经市政府研究，决定调整义乌市农村生活垃圾分类工作领导小组。具体名单如下：</w:t>
      </w:r>
    </w:p>
    <w:p>
      <w:pPr>
        <w:spacing w:line="590" w:lineRule="exact"/>
        <w:ind w:firstLine="616" w:firstLineChars="200"/>
        <w:rPr>
          <w:rFonts w:eastAsia="仿宋_GB2312"/>
          <w:b/>
          <w:bCs/>
          <w:spacing w:val="-6"/>
          <w:sz w:val="32"/>
          <w:szCs w:val="32"/>
        </w:rPr>
      </w:pPr>
      <w:r>
        <w:rPr>
          <w:rFonts w:hint="eastAsia" w:eastAsia="黑体" w:cs="黑体"/>
          <w:spacing w:val="-6"/>
          <w:sz w:val="32"/>
          <w:szCs w:val="32"/>
        </w:rPr>
        <w:t>组  长：</w:t>
      </w:r>
      <w:r>
        <w:rPr>
          <w:rFonts w:hint="eastAsia" w:eastAsia="仿宋_GB2312" w:cs="仿宋_GB2312"/>
          <w:spacing w:val="-6"/>
          <w:sz w:val="32"/>
          <w:szCs w:val="32"/>
        </w:rPr>
        <w:t>王  健</w:t>
      </w:r>
    </w:p>
    <w:p>
      <w:pPr>
        <w:spacing w:line="590" w:lineRule="exact"/>
        <w:ind w:firstLine="616" w:firstLineChars="200"/>
        <w:rPr>
          <w:rFonts w:eastAsia="仿宋_GB2312"/>
          <w:spacing w:val="-6"/>
          <w:sz w:val="32"/>
          <w:szCs w:val="32"/>
        </w:rPr>
      </w:pPr>
      <w:r>
        <w:rPr>
          <w:rFonts w:hint="eastAsia" w:eastAsia="黑体" w:cs="黑体"/>
          <w:spacing w:val="-6"/>
          <w:sz w:val="32"/>
          <w:szCs w:val="32"/>
        </w:rPr>
        <w:t>副组长：</w:t>
      </w:r>
      <w:r>
        <w:rPr>
          <w:rFonts w:hint="eastAsia" w:eastAsia="仿宋_GB2312" w:cs="仿宋_GB2312"/>
          <w:spacing w:val="-6"/>
          <w:sz w:val="32"/>
          <w:szCs w:val="32"/>
        </w:rPr>
        <w:t>朱有清</w:t>
      </w:r>
    </w:p>
    <w:p>
      <w:pPr>
        <w:spacing w:line="590" w:lineRule="exact"/>
        <w:ind w:firstLine="616" w:firstLineChars="200"/>
        <w:rPr>
          <w:rFonts w:eastAsia="仿宋_GB2312"/>
          <w:spacing w:val="-6"/>
          <w:sz w:val="32"/>
          <w:szCs w:val="32"/>
        </w:rPr>
      </w:pPr>
      <w:r>
        <w:rPr>
          <w:rFonts w:hint="eastAsia" w:eastAsia="黑体" w:cs="黑体"/>
          <w:spacing w:val="-6"/>
          <w:sz w:val="32"/>
          <w:szCs w:val="32"/>
        </w:rPr>
        <w:t>成  员：</w:t>
      </w:r>
      <w:r>
        <w:rPr>
          <w:rFonts w:hint="eastAsia" w:eastAsia="仿宋_GB2312" w:cs="仿宋_GB2312"/>
          <w:spacing w:val="-6"/>
          <w:sz w:val="32"/>
          <w:szCs w:val="32"/>
        </w:rPr>
        <w:t>邵春洪（市府办）</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方林杭（市府办）</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丁小娟（组织部）</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王永明（宣传部）</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周建平（供销联社）</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毛新荣（文明办）</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王晖平（总工会）</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傅凤丽（团市委）</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谢沁菲（妇  联）</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郑亚明（发改局）</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曹  耿（经信局）</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叶国江（教育局）</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李  湛（科技局）</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刘德钧（民政局）</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洪信强（财政局）</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鲍建平（自然资源和规划局）</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陶府盛（生态环境分局）</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厉声振（建设局）</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楼辉腾（农业农村局）</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杨忠宏（商务局）</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王东升（文化和广电旅游体育局）</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王瑞铨（卫健局）</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吴朝晖（市场监管局）</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王承刚（金融办）</w:t>
      </w:r>
    </w:p>
    <w:p>
      <w:pPr>
        <w:spacing w:line="590" w:lineRule="exact"/>
        <w:ind w:firstLine="1848" w:firstLineChars="600"/>
        <w:rPr>
          <w:rFonts w:eastAsia="仿宋_GB2312"/>
          <w:spacing w:val="-6"/>
          <w:sz w:val="32"/>
          <w:szCs w:val="32"/>
        </w:rPr>
      </w:pPr>
      <w:r>
        <w:rPr>
          <w:rFonts w:hint="eastAsia" w:eastAsia="仿宋_GB2312" w:cs="仿宋_GB2312"/>
          <w:spacing w:val="-6"/>
          <w:sz w:val="32"/>
          <w:szCs w:val="32"/>
        </w:rPr>
        <w:t>黄  镇（行政执法局）</w:t>
      </w:r>
    </w:p>
    <w:p>
      <w:pPr>
        <w:spacing w:line="590" w:lineRule="exact"/>
        <w:ind w:firstLine="616" w:firstLineChars="200"/>
        <w:rPr>
          <w:rFonts w:eastAsia="仿宋_GB2312"/>
          <w:spacing w:val="-6"/>
          <w:sz w:val="32"/>
          <w:szCs w:val="32"/>
        </w:rPr>
      </w:pPr>
      <w:r>
        <w:rPr>
          <w:rFonts w:hint="eastAsia" w:eastAsia="仿宋_GB2312" w:cs="仿宋_GB2312"/>
          <w:spacing w:val="-6"/>
          <w:sz w:val="32"/>
          <w:szCs w:val="32"/>
        </w:rPr>
        <w:t>领导小组下设办公室。办公室设在农业农村局，简称农村垃圾分类办，楼辉腾兼任办公室主任，农业农村局陈文青任办公室常务副主任，宣传部、妇联、教育局、生态环境分局、商务局、行政执法局分管领导任办公室副主任。</w:t>
      </w: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588" w:left="1531" w:header="851" w:footer="1418" w:gutter="0"/>
          <w:cols w:space="425" w:num="1"/>
          <w:docGrid w:type="lines" w:linePitch="312" w:charSpace="0"/>
        </w:sectPr>
      </w:pPr>
    </w:p>
    <w:p>
      <w:pPr>
        <w:spacing w:line="590" w:lineRule="exact"/>
        <w:rPr>
          <w:rFonts w:eastAsia="黑体"/>
          <w:spacing w:val="-6"/>
          <w:sz w:val="32"/>
          <w:szCs w:val="32"/>
        </w:rPr>
      </w:pPr>
      <w:r>
        <w:rPr>
          <w:rFonts w:eastAsia="黑体"/>
          <w:spacing w:val="-6"/>
          <w:sz w:val="32"/>
          <w:szCs w:val="32"/>
        </w:rPr>
        <w:t>附件3</w:t>
      </w:r>
    </w:p>
    <w:p>
      <w:pPr>
        <w:spacing w:line="590" w:lineRule="exact"/>
        <w:rPr>
          <w:rFonts w:hint="eastAsia" w:eastAsia="仿宋_GB2312"/>
          <w:spacing w:val="-6"/>
          <w:sz w:val="28"/>
        </w:rPr>
      </w:pPr>
      <w:r>
        <w:rPr>
          <w:rFonts w:hint="eastAsia" w:eastAsia="仿宋_GB2312"/>
          <w:spacing w:val="-6"/>
          <w:sz w:val="28"/>
        </w:rPr>
        <w:drawing>
          <wp:anchor distT="0" distB="0" distL="114300" distR="114300" simplePos="0" relativeHeight="251659264" behindDoc="1" locked="0" layoutInCell="1" allowOverlap="1">
            <wp:simplePos x="0" y="0"/>
            <wp:positionH relativeFrom="column">
              <wp:posOffset>571500</wp:posOffset>
            </wp:positionH>
            <wp:positionV relativeFrom="paragraph">
              <wp:posOffset>21590</wp:posOffset>
            </wp:positionV>
            <wp:extent cx="7725410" cy="4826000"/>
            <wp:effectExtent l="0" t="0" r="8890" b="12700"/>
            <wp:wrapNone/>
            <wp:docPr id="1" name="图片 2" descr="9aa2d74501c0dbc45bb750d2f81b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9aa2d74501c0dbc45bb750d2f81baf1"/>
                    <pic:cNvPicPr>
                      <a:picLocks noChangeAspect="1"/>
                    </pic:cNvPicPr>
                  </pic:nvPicPr>
                  <pic:blipFill>
                    <a:blip r:embed="rId11"/>
                    <a:stretch>
                      <a:fillRect/>
                    </a:stretch>
                  </pic:blipFill>
                  <pic:spPr>
                    <a:xfrm>
                      <a:off x="0" y="0"/>
                      <a:ext cx="7725410" cy="4826000"/>
                    </a:xfrm>
                    <a:prstGeom prst="rect">
                      <a:avLst/>
                    </a:prstGeom>
                    <a:noFill/>
                    <a:ln>
                      <a:noFill/>
                    </a:ln>
                  </pic:spPr>
                </pic:pic>
              </a:graphicData>
            </a:graphic>
          </wp:anchor>
        </w:drawing>
      </w: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pPr>
    </w:p>
    <w:p>
      <w:pPr>
        <w:spacing w:line="590" w:lineRule="exact"/>
        <w:rPr>
          <w:rFonts w:hint="eastAsia" w:eastAsia="仿宋_GB2312"/>
          <w:spacing w:val="-6"/>
          <w:sz w:val="28"/>
        </w:rPr>
        <w:sectPr>
          <w:footerReference r:id="rId9" w:type="default"/>
          <w:pgSz w:w="16838" w:h="11906" w:orient="landscape"/>
          <w:pgMar w:top="1644" w:right="1985" w:bottom="1361" w:left="1588" w:header="851" w:footer="1418" w:gutter="0"/>
          <w:cols w:space="425" w:num="1"/>
          <w:docGrid w:type="linesAndChars" w:linePitch="312" w:charSpace="0"/>
        </w:sect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12" w:wrap="around" w:vAnchor="text" w:hAnchor="page" w:x="9205" w:y="-2"/>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w:t>
    </w:r>
    <w:r>
      <w:rPr>
        <w:rStyle w:val="7"/>
        <w:rFonts w:ascii="宋体" w:hAnsi="宋体"/>
        <w:sz w:val="28"/>
        <w:szCs w:val="28"/>
      </w:rPr>
      <w:fldChar w:fldCharType="end"/>
    </w:r>
    <w:r>
      <w:rPr>
        <w:rStyle w:val="7"/>
        <w:rFonts w:hint="eastAsia" w:ascii="宋体" w:hAnsi="宋体"/>
        <w:sz w:val="28"/>
        <w:szCs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12" w:wrap="around" w:vAnchor="text" w:hAnchor="page" w:x="13525" w:y="-33"/>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15</w:t>
    </w:r>
    <w:r>
      <w:rPr>
        <w:rStyle w:val="7"/>
        <w:rFonts w:ascii="宋体" w:hAnsi="宋体"/>
        <w:sz w:val="28"/>
        <w:szCs w:val="28"/>
      </w:rPr>
      <w:fldChar w:fldCharType="end"/>
    </w:r>
    <w:r>
      <w:rPr>
        <w:rStyle w:val="7"/>
        <w:rFonts w:hint="eastAsia" w:ascii="宋体" w:hAnsi="宋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bdr w:val="single" w:color="auto" w:sz="6" w:space="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59A45099"/>
    <w:rsid w:val="59A45099"/>
    <w:rsid w:val="636C0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rFonts w:eastAsia="仿宋_GB2312"/>
      <w:sz w:val="32"/>
      <w:szCs w:val="32"/>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默认段落字体 Para Char Char Char Char Char Char Char"/>
    <w:basedOn w:val="1"/>
    <w:link w:val="5"/>
    <w:qFormat/>
    <w:uiPriority w:val="0"/>
    <w:rPr>
      <w:rFonts w:eastAsia="仿宋_GB2312"/>
      <w:sz w:val="32"/>
      <w:szCs w:val="32"/>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6757</Words>
  <Characters>6869</Characters>
  <Lines>0</Lines>
  <Paragraphs>0</Paragraphs>
  <TotalTime>0</TotalTime>
  <ScaleCrop>false</ScaleCrop>
  <LinksUpToDate>false</LinksUpToDate>
  <CharactersWithSpaces>6885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2021-04-02T01:18:00Z</dcterms:created>
  <dc:creator>lpk</dc:creator>
  <cp:lastModifiedBy>龚秀娟</cp:lastModifiedBy>
  <dcterms:modified xsi:type="dcterms:W3CDTF">2022-05-27T08:22:41Z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D249F9B5B2214406A0B07EEB53212406</vt:lpwstr>
  </property>
</Properties>
</file>