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t>义乌市稠城街道、北苑街道综合行政执法</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t>事项目录（2024年）</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p>
    <w:tbl>
      <w:tblPr>
        <w:tblStyle w:val="2"/>
        <w:tblW w:w="9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5"/>
        <w:gridCol w:w="1755"/>
        <w:gridCol w:w="5734"/>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blHeader/>
          <w:jc w:val="center"/>
        </w:trPr>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一、教育（共1项）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330205003000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对违反国家有关规定举办学校或者其他教育机构的行政处罚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二、公安（共5项）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330209028002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对在人行道违法停放非机动车的行政处罚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330209915000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对从建筑物、构筑物内向外抛洒物品的行政处罚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330209920000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对饲养犬只单位违反规定未配备犬笼、犬舍、围墙等封闭安全防护设施，未安排专人饲养和管理犬只的行政处罚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330209922000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对养犬人违反规定未经登记，私自在重点管理区饲养犬只行为的行政处罚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330209923000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对养犬人违反规定超养犬只行为的行政处罚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三、自然资源（共11项）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330215040001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对建设单位或者个人未经批准进行临时建设的行政处罚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330215040002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对建设单位或者个人未按照批准内容进行临时建设的行政处罚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330215040003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对临时建筑物、构筑物超过批准期限不拆除的行政处罚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330215041001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对未取得建设工程规划许可证进行建设的行政处罚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330215041002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对未按照建设工程规划许可证的规定进行建设的行政处罚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330215067000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对建设单位或者个人改变临时规划许可确定的建筑用途的行政处罚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330215068000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对建设工程设计、施工单位违规承揽明知是违法建筑的项目设计或者施工作业的行政处罚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330215069000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对在燃气设施保护范围内建设占压地下燃气管线的建筑物、构筑物或者其他设施的行政处罚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330215070000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对供电、供水、供气等单位违规为单位或者个人就违法建筑办理供电、供水、供气等手续的行政处罚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330215072000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对建设单位或者个人未取得建设工程规划核实确认书组织建设工程竣工验收的行政处罚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330215073000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对房屋使用人擅自改变建设工程规划许可证确定的房屋用途的行政处罚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四、林业（共5项）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330264069002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对滥伐林木的行政处罚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330264069001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对盗伐林木的行政处罚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330264115000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对损害古树名木的行政处罚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330264072000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对开垦、采石、采砂、采土等造成林木或林地毁坏的行政处罚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330264075000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对未经林业部门审核同意擅自改变林地用途的行政处罚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五、建设（共119项）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330217189000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对未经城市规划行政主管部门批准，在住宅室内装饰装修活动中搭建建筑物、构筑物的，或者擅自改变住宅外立面、在非承重外墙上开门、窗的行政处罚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330217014000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对随意倾倒、抛撒或者堆放建筑垃圾的行政处罚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对依树盖房、搭棚、架设天线的行政处罚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对在绿地内放牧、堆物、倾倒废弃物的行政处罚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330217138003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对进入设有明示禁止标志的绿地的行政处罚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330217138004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对破坏草坪、绿篱、花卉、树木、植被的行政处罚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330217138005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对其他损坏城市绿地和绿化设施的行为的行政处罚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330217140000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对损毁或者擅自移动古树名木保护标志、保护设施的行政处罚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330217141000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对房屋使用安全责任人和房屋装修经营者违法进行房屋装修的行政处罚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对使用国家明令淘汰的燃气燃烧器具的行政处罚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330217142003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对使用非法制造、报废、改装的气瓶或者超期限未检验、检验不合格的气瓶的行政处罚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330217142004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对加热、摔砸、倒卧、曝晒燃气气瓶或者改换气瓶检验标志、漆色的行政处罚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330217142005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对倾倒燃气残液或者用气瓶相互倒灌的行政处罚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330217142006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对进行危害室内燃气设施安全的装饰、装修活动的行政处罚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330217156000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对在露天场所和垃圾收集容器内焚烧树叶、垃圾或者其他废弃物的行政处罚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对未在规定的时间内及时清扫、收运城市生活垃圾的行政处罚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对未将收集的城市生活垃圾运至主管部门认可的处置场所的行政处罚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330217157003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对未保持生活垃圾收集设施和周边环境的干净整洁的行政处罚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330217157004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对未做到收集、运输城市生活垃圾的车辆、船舶密闭、完好和整洁的行政处罚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330217157007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对未按规定的时间和要求接收生活垃圾的行政处罚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330217157008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对未按照要求配备城市生活垃圾处置设备、设施，未保证设施、设备运行良好的行政处罚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330217157009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对未保证城市生活垃圾处置站、场（厂）环境整洁的行政处罚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330217157010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对未按照要求配备合格的管理人员及操作人员的行政处罚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330217158000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对装修人未申报登记进行住宅室内装饰装修活动的行政处罚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330217162000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对未经批准在城市绿地范围内进行拦河截溪、取土采石、设置垃圾堆场、排放污水以及其他对城市生态环境造成破坏活动的行政处罚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330217164000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对未在施工前制定古树名木保护方案或者未按照古树名木保护方案施工的行政处罚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330217167002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对将危险废物混入建筑垃圾的行政处罚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330217167003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对擅自设立弃置场受纳建筑垃圾的行政处罚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330217167004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对将建筑垃圾混入生活垃圾的行政处罚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330217168000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对生活垃圾分类投放管理责任人未履行生活垃圾分类投放管理责任的行政处罚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330217171000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对未经批准擅自砍伐城市树木的行政处罚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330217173000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对搭建的临时建筑物、构筑物或者其他设施遮盖路标、街牌的行政处罚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330217179000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对不按照规定路线、时间清运建筑垃圾，沿途丢弃、遗撒、随意倾倒的行政处罚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330217180000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对未经同意擅自占用城市绿地及临时占用超过批准时间的行政处罚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330217181000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对擅自占用城市人行道、桥梁、地下通道以及其他公共场所设摊经营、兜售物品的行政处罚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330217185000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对装修人将住宅室内装饰装修工程委托给不具有相应资质等级企业的行政处罚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330217194000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对公共环境艺术品所有人或者管理人未依照规定维护公共环境艺术品的行政处罚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对主要街道和重点地区临街建筑物阳台外、窗外、屋顶吊挂或者堆放有关物品的行政处罚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对主要街道和重点地区临街建筑物外立面安装窗栏、空调外机、遮阳篷等不符合有关规范要求的行政处罚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330217197003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对在树木、地面、电杆、建筑物、构筑物或者其他设施上任意刻画、涂写、张贴的行政处罚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330217197004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对随地吐痰、便溺的行政处罚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330217197005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对乱扔果皮、纸屑、烟蒂、饮料罐、口香糖、塑料袋等废弃物的行政处罚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330217197006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对乱倒生活垃圾、污水、粪便的行政处罚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330217204000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对饲养家畜家禽和食用鸽影响市容和环境卫生的行政处罚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330217211000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对沿街和广场周边的经营者擅自超出门、窗进行店外经营、作业或者展示商品的行政处罚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330217215000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对从事城市生活垃圾经营性清扫、收集、运输的企业在运输过程中沿途丢弃、遗撒生活垃圾的行政处罚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330217216000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对单位和个人未按规定分类投放生活垃圾的行政处罚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330217222003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对燃气用户及相关单位和个人安装、使用不符合气源要求的燃气燃烧器具的行政处罚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330217222004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对擅自安装、改装、拆除户内燃气设施和燃气计量装置的行政处罚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330217222005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对在不具备安全条件的场所使用、储存燃气的行政处罚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330217222008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对燃气燃烧器具的安装、维修不符合国家有关标准的行政处罚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330217224002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对建设工程的施工现场未设置临时厕所和生活垃圾收集容器，保持整洁、完好，或未采取有效措施防止污水流溢的行政处罚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330217225000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对从事车辆清洗或者维修、废品收购、废弃物接纳作业的单位和个人未采取有效措施防止污水外流或者将废弃物向外洒落的行政处罚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330217226001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对未经批准从事城市生活垃圾经营性清扫、收集、运输活动的行政处罚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330217226002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对未经批准从事城市生活垃圾经营性处置活动的行政处罚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330217227000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对在公园绿地范围内从事商业服务摊点或广告经营等业务的单位和个人违反公园绿地有关规定的行政处罚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330217228001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对将没有防水要求的房间或者阳台改为卫生间、厨房间的行政处罚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330217228002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对拆除连接阳台的砖、混凝土墙体的行政处罚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330217230000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对饲养人未及时清理宠物在城市道路和其他公共场地排放的粪便，饲养宠物和信鸽污染环境的行政处罚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330217233000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对未按规定缴纳城市生活垃圾处理费的行政处罚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330217231002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对擅自在桥梁范围内设置广告牌、悬挂物，以及占用桥孔、明火作业的行政处罚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330217241000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对在城市景观照明中有过度照明等超能耗标准行为的行政处罚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330217248001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对设置或管理单位未能及时整修或者拆除污损、毁坏的城市雕塑、街景艺术品的行政处罚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330217248002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对单位和个人在城市道路、公园绿地和其他公共场所公共设施上晾晒、吊挂衣物的行政处罚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330217252001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对未取得瓶装燃气经营许可证从事经营活动的行政处罚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330217258000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对装修房屋产生的建筑垃圾未堆放到指定地点的行政处罚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330217260000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对户外广告设施以及非广告的户外设施不符合城市容貌标准的行政处罚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330217263000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对侵占、毁损、擅自拆除、移动燃气设施或者擅自改动市政燃气设施的行政处罚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330217265000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对户外设施的设置单位未做好日常维护保养等管理工作的行政处罚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330217267000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对生活垃圾收集、运输单位对分类投放的生活垃圾混合收集、运输的行政处罚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330217269000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对工程建设项目完成后未按照规定期限完成与主体工程相配套的绿地工程或者绿化用地面积未达到审定比例的行政处罚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对在城市照明设施上刻划、涂污的行政处罚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对在城市照明设施安全距离内，擅自植树、挖坑取土或者设置其他物体，或者倾倒含酸、碱、盐等腐蚀物或者具有腐蚀性的废渣、废液的行政处罚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330217280003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对擅自在城市照明设施上张贴、悬挂、设置宣传品、广告的行政处罚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330217280004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对擅自在城市照明设施上架设线缆、安置其它设施或者接用电源的行政处罚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330217280005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对擅自迁移、拆除、利用城市照明设施的行政处罚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330217280006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对其他可能影响城市照明设施正常运行的行为的行政处罚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330217283000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对作业单位未及时清理因栽培或者修剪树木、花草等产生的树枝、树叶等废弃物的行政处罚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330217285000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对作业单位未及时清运、处理清理窨井淤泥产生的废弃物并随意堆放，未清洗作业场地的行政处罚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330217431000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对建筑垃圾储运消纳场受纳工业垃圾、生活垃圾和有毒有害垃圾的行政处罚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330217439000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对建房村民未按规定组织竣工验收等的行政处罚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330217440000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对建筑施工企业或农村建筑工匠承接未取得批准文件的低层农村住房施工工程等的行政处罚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330217450000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对建筑物或设施不符合城市容貌标准、环境卫生标准的行政处罚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330217454000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对擅自在街道两侧和公共场地堆放物料，搭建建筑物、构筑物或其他设施的行政处罚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330217490000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对新建的架空管线不符合城市容貌标准或者在城市、县人民政府确定的重要街道和重要区块的公共场所上空新建架空管线的行政处罚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330217826000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对砍伐、养护不善、破坏古树名木等行为的行政处罚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330217B22001</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对在公厕内乱丢垃圾或污物、随地吐痰、乱涂乱画的行政处罚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330217E14000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对随意倾倒、抛撒、堆放、焚烧生活垃圾的行政处罚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330217E16000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对在运输过程中沿途丢弃、遗撒生活垃圾的行政处罚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330217E71000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对建设工程设计单位或设计人员未按工程建设强制性标准进行低层农村住房设计，不符合规定的单位或个人承接低层农村住房设计业务的行政处罚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330217E92000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对互联网租赁自行车运营企业未按规定履行企业主体责任等影响市容和环境卫生的行政处罚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330217F46000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对公共设施未及时整修或拆除的行政处罚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330217F47000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对在当地人民政府禁止的时段和区域内露天烧烤食品或者为露天烧烤食品提供场地的行政处罚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330217F49000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对在学校周边、城市道路、广场等公共场所散发商业性传单、卡片等广告宣传品的行政处罚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330217F50001</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对依树盖房、搭棚的行政处罚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330217F50002</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对绿地内行驶停放车辆、野炊烧烤、饲养家禽、放牧的行政处罚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330217F50003</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对公园绿地水域内洗衣物和在禁钓区垂钓的行政处罚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330217F50004</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对进入设有明示禁入标志的绿地的行政处罚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330217F50005</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对破坏草坪、绿篱、花卉、树木的行政处罚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330217F50006</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对硬化行道树的树穴（树池</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330217F50007</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对绿地内私自搭架或者开垦种植的行政处罚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330217F50008</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对损坏城市绿化设施的行政处罚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330217F51000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对未按照规定补植树木或者采取其他补救措施的行政处罚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330217F52000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对擅自砍伐城市树木的行政处罚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330217F53000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对违法占用、拆除按照规定已折算为绿地面积的立体绿化及设施的行政处罚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330217F54000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对临时占用城市绿化规划用地、已建绿地超过批准（承诺)期限的行政处罚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330217F55000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对违法占用城市绿化规划用地、已建绿地的行政处罚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330217F56000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对城市绿化养护管理责任人未按照养护技术规范修剪树木影响树木生长或者破坏绿化景观的行政处罚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330217F57000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金华</w:t>
            </w:r>
            <w:r>
              <w:rPr>
                <w:rFonts w:hint="eastAsia" w:eastAsia="仿宋_GB2312" w:cs="Times New Roman"/>
                <w:b w:val="0"/>
                <w:bCs/>
                <w:i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对城市绿化养护管理责任人未履行养护管理义务或者养护管理不当造成绿地严重损害的行政处罚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330217F58000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对建设单位在主体工程建成后的第一个绿化季节内未完成附属绿化工程的行政处罚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330217F62001</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对未按照规定的场所、时段、种类经营的行政处罚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330217F62002</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对非营业时间未将经营用具搬离或者未按规定整理收纳的行政处罚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330217F62003</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对未自备垃圾分类收集容器，未能保持摊架、摊棚和地面清洁的行政处罚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330217F63000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对活动结束后未及时拆除临时设施和清除废弃物，未保持周围市容和环境卫生整洁的行政处罚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330217F64001</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对将室内、门前或者责任区内的垃圾扫入道路或者他人责任区的行政处罚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330217F64002</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对向花坛、绿化带、窨井扫入或者倾倒垃圾等废弃物的行政处罚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330217F64003</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对在街道、广场等公共场所屠宰家禽家畜，加工肉类或者水产品的行政处罚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330217G42000</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对使用燃气的餐饮等行业生产经营单位未安装可燃气体报警装置的行政处罚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330217238008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对擅自占用或者挖掘城市道路、修筑出入口、搭建建筑物或者构筑物、明火作业、设置路障的行政处罚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3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六、水利（共10项）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330219007000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对未经许可擅自在河道采砂的行政处罚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330219067000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对未经批准或不按批准要求在河道、湖泊管理范围内从事工程设施建设活动的行政处罚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330219068000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对擅自移动、损毁河道管理范围的界桩或者公告牌的行政处罚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330219082000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对在河道管理范围内未经批准或未按批准要求建设水工程以及涉河建筑物、构筑物的行政处罚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330219084000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对河道管理范围内的建设活动，施工方案未报备、临时工程未经批准及未按要求采取修复恢复措施的行政处罚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330219090000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对在河道管理范围内从事妨害行洪活动的行政处罚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330219107000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对未经许可在河道管理范围内从事有关活动（不含河道采砂）的行政处罚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部分（不含河道采砂）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330219112000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对河道采砂中未按照规定设立公示牌或者警示标志的行政处罚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330219157000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对未经许可或者未按许可要求取水的行政处罚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部分（不含吊销取水许可证）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330219162000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对在河道管理范围内从事禁止行为的行政处罚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七、应急管理（共4项）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330225023009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对烟花爆竹零售单位未在核准的地点经营，或销售经营所在地县级以上人民政府规定禁止燃放的烟花爆竹的行政处罚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330225023008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对烟花爆竹零售单位拒绝、阻碍综合执法部门依法实施监督检查的行政处罚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330225023007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对烟花爆竹零售单位存放的烟花爆竹数量超过零售许可证载明范围的行政处罚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对未取得烟花爆竹零售经营许可证经营的行政处罚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八、市场监管（共1项）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330231076001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对在室外公共场所无照经营的行政处罚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九、生态环境（共10项）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330216277002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对露天焚烧秸秆、落叶等产生烟尘污染物质的行政处罚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330216282000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对违法在人口集中和其他需特殊保护区域焚烧产生有毒有害烟尘和恶臭气体的行政处罚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330216107002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对个人未按照规定停止燃用高污染燃料的行政处罚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330216090001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对个人存放煤炭、煤矸石、煤渣、煤灰等物料，未采取防燃措施的行政处罚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330216310004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对运输过程中沿途丢弃、遗撒工业固体废物行为的行政处罚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330216132003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对在水体清洗装贮过油类、有毒污染物的车辆或容器等的行政处罚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330216132002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对向水体排放、倾倒工业废渣、城镇垃圾或者其他废弃物等违法行为的行政处罚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330216279002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对经营者未采取其他措施，超标排放油烟的行政处罚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330216281000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对在居民住宅楼、未配套设立专用烟道的商住综合楼、商住综合楼内与居住层相邻的商业楼层内新改扩建产生油烟、异味、废气的餐饮服务项目的行政处罚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330216279001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对经营者未安装净化设施、不正常使用净化设施的行政处罚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十、农业农村（共2项）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330220315000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对偷捕、抢夺他人养殖的水产品，或者破坏他人养殖水体、养殖设施的行政处罚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330220520000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十一、民政（共13项）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330211021002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对公墓建成时墓区绿地率不达标的行政处罚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330211021001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对公墓建成使用满9年后墓区绿化覆盖率不达标的行政处罚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330211017003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pacing w:val="-6"/>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对倒卖墓穴和骨灰存放格位牟取非法利润的行政处罚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330211017002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pacing w:val="-6"/>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对乡村公益性墓地、骨灰存放处跨区域经营的行政处罚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330211017001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对公墓、乡村公益性墓地接纳土葬或骨灰装棺土葬的行政处罚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330211016003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对在逐步推行火化区以外的区域制造、销售土葬用品的行政处罚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330211016002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对制造、销售封建迷信殡葬用品的行政处罚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330211016001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对制造、销售不符合国家技术标准的殡葬设施的行政处罚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330211010000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对未经批准擅自兴建殡葬设施的行政处罚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330211008002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对公墓超标准立墓碑的行政处罚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330211008001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对公墓超面积建造墓穴的行政处罚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330211005000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对医院不制止擅自外运遗体且不报告的行政处罚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330211006000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对擅自开办公墓、乡村骨灰存放处和乡村公益性墓地的行政处罚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十二、消防救援（共6项）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330295060001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对在城市道路上私拉电线和插座给电动车充电的行政处罚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330295046001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对埋压、圈占、遮挡城市道路上的消火栓的行政处罚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330295024001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对沿城市道路的人员密集场所门窗设置影响逃生、灭火救援的障碍物的行政处罚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330295022001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对占用、堵塞、封闭城市道路上的消防车通道的行政处罚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330295018000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对建筑物外墙装修装饰、建筑屋面使用及广告牌的设置影响防火、逃生的行政处罚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330295016001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对占用、堵塞、封闭城市道路上的消防登高场地的行政处罚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十三、广电（共1项）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330232027000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对擅自安装和使用卫星地面接收设施的行政处罚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8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十四、卫生健康（共1项）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330223071012 </w:t>
            </w:r>
          </w:p>
        </w:tc>
        <w:tc>
          <w:tcPr>
            <w:tcW w:w="5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对个人非医师行医的行政处罚</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部分（划转在室外未经批准开办医疗机构行医或非医师行医的行政处罚，吊销医师执业证书除外）</w:t>
            </w:r>
          </w:p>
        </w:tc>
      </w:tr>
    </w:tbl>
    <w:p>
      <w:pPr>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2625667D"/>
    <w:rsid w:val="26256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2024-02-07T03:33:00Z</dcterms:created>
  <dc:creator>龚秀娟</dc:creator>
  <cp:lastModifiedBy>龚秀娟</cp:lastModifiedBy>
  <dcterms:modified xsi:type="dcterms:W3CDTF">2024-02-07T03:33:10Z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E93FE89AE1B54ACAA91D6ADA12AD1DCF_11</vt:lpwstr>
  </property>
</Properties>
</file>