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10.xml" ContentType="application/vnd.openxmlformats-officedocument.drawingml.chartshapes+xml"/>
  <Override PartName="/word/drawings/drawing11.xml" ContentType="application/vnd.openxmlformats-officedocument.drawingml.chartshapes+xml"/>
  <Override PartName="/word/drawings/drawing12.xml" ContentType="application/vnd.openxmlformats-officedocument.drawingml.chartshapes+xml"/>
  <Override PartName="/word/drawings/drawing13.xml" ContentType="application/vnd.openxmlformats-officedocument.drawingml.chartshapes+xml"/>
  <Override PartName="/word/drawings/drawing14.xml" ContentType="application/vnd.openxmlformats-officedocument.drawingml.chartshapes+xml"/>
  <Override PartName="/word/drawings/drawing15.xml" ContentType="application/vnd.openxmlformats-officedocument.drawingml.chartshapes+xml"/>
  <Override PartName="/word/drawings/drawing16.xml" ContentType="application/vnd.openxmlformats-officedocument.drawingml.chartshapes+xml"/>
  <Override PartName="/word/drawings/drawing17.xml" ContentType="application/vnd.openxmlformats-officedocument.drawingml.chartshapes+xml"/>
  <Override PartName="/word/drawings/drawing18.xml" ContentType="application/vnd.openxmlformats-officedocument.drawingml.chartshapes+xml"/>
  <Override PartName="/word/drawings/drawing19.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5.xml" ContentType="application/vnd.openxmlformats-officedocument.themeOverride+xml"/>
  <Override PartName="/word/theme/themeOverride16.xml" ContentType="application/vnd.openxmlformats-officedocument.themeOverride+xml"/>
  <Override PartName="/word/theme/themeOverride17.xml" ContentType="application/vnd.openxmlformats-officedocument.themeOverride+xml"/>
  <Override PartName="/word/theme/themeOverride18.xml" ContentType="application/vnd.openxmlformats-officedocument.themeOverride+xml"/>
  <Override PartName="/word/theme/themeOverride19.xml" ContentType="application/vnd.openxmlformats-officedocument.themeOverride+xml"/>
  <Override PartName="/word/theme/themeOverride2.xml" ContentType="application/vnd.openxmlformats-officedocument.themeOverride+xml"/>
  <Override PartName="/word/theme/themeOverride20.xml" ContentType="application/vnd.openxmlformats-officedocument.themeOverride+xml"/>
  <Override PartName="/word/theme/themeOverride21.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color w:val="000000"/>
          <w:kern w:val="0"/>
          <w:sz w:val="32"/>
          <w:szCs w:val="32"/>
        </w:rPr>
      </w:pPr>
      <w:bookmarkStart w:id="0" w:name="_GoBack"/>
      <w:bookmarkEnd w:id="0"/>
    </w:p>
    <w:p>
      <w:pPr>
        <w:spacing w:line="700" w:lineRule="exact"/>
        <w:jc w:val="center"/>
        <w:rPr>
          <w:rFonts w:ascii="方正小标宋简体" w:hAnsi="宋体" w:eastAsia="方正小标宋简体"/>
          <w:spacing w:val="20"/>
          <w:sz w:val="44"/>
          <w:szCs w:val="44"/>
        </w:rPr>
      </w:pPr>
      <w:r>
        <w:rPr>
          <w:rFonts w:eastAsia="方正小标宋简体"/>
          <w:spacing w:val="20"/>
          <w:sz w:val="44"/>
          <w:szCs w:val="44"/>
        </w:rPr>
        <w:t>2022</w:t>
      </w:r>
      <w:r>
        <w:rPr>
          <w:rFonts w:hint="eastAsia" w:ascii="方正小标宋简体" w:hAnsi="宋体" w:eastAsia="方正小标宋简体"/>
          <w:spacing w:val="20"/>
          <w:sz w:val="44"/>
          <w:szCs w:val="44"/>
        </w:rPr>
        <w:t>年义乌市国民经济和社会发展</w:t>
      </w:r>
    </w:p>
    <w:p>
      <w:pPr>
        <w:spacing w:line="700" w:lineRule="exact"/>
        <w:jc w:val="center"/>
        <w:rPr>
          <w:rFonts w:ascii="方正小标宋简体" w:hAnsi="宋体" w:eastAsia="方正小标宋简体"/>
          <w:spacing w:val="20"/>
          <w:sz w:val="44"/>
          <w:szCs w:val="44"/>
        </w:rPr>
      </w:pPr>
      <w:r>
        <w:rPr>
          <w:rFonts w:hint="eastAsia" w:ascii="方正小标宋简体" w:hAnsi="宋体" w:eastAsia="方正小标宋简体"/>
          <w:spacing w:val="20"/>
          <w:sz w:val="44"/>
          <w:szCs w:val="44"/>
        </w:rPr>
        <w:t>统计公报</w:t>
      </w:r>
    </w:p>
    <w:p>
      <w:pPr>
        <w:spacing w:line="560" w:lineRule="exact"/>
        <w:jc w:val="center"/>
        <w:outlineLvl w:val="0"/>
        <w:rPr>
          <w:rFonts w:ascii="楷体_GB2312" w:hAnsi="仿宋" w:eastAsia="楷体_GB2312"/>
          <w:spacing w:val="20"/>
          <w:sz w:val="32"/>
          <w:szCs w:val="32"/>
        </w:rPr>
      </w:pPr>
    </w:p>
    <w:p>
      <w:pPr>
        <w:spacing w:line="560" w:lineRule="exact"/>
        <w:jc w:val="center"/>
        <w:outlineLvl w:val="0"/>
        <w:rPr>
          <w:rFonts w:ascii="仿宋_GB2312" w:hAnsi="仿宋" w:eastAsia="仿宋_GB2312"/>
          <w:b/>
          <w:sz w:val="32"/>
        </w:rPr>
      </w:pPr>
      <w:r>
        <w:rPr>
          <w:rFonts w:hint="eastAsia" w:ascii="仿宋_GB2312" w:hAnsi="仿宋" w:eastAsia="仿宋_GB2312"/>
          <w:b/>
          <w:sz w:val="32"/>
        </w:rPr>
        <w:t>义乌市统计局 国家统计局义乌调查队</w:t>
      </w:r>
    </w:p>
    <w:p>
      <w:pPr>
        <w:jc w:val="center"/>
        <w:rPr>
          <w:rFonts w:ascii="仿宋_GB2312" w:hAnsi="仿宋" w:eastAsia="仿宋_GB2312"/>
          <w:b/>
          <w:sz w:val="32"/>
        </w:rPr>
      </w:pPr>
    </w:p>
    <w:p>
      <w:pPr>
        <w:adjustRightInd w:val="0"/>
        <w:spacing w:line="560" w:lineRule="exact"/>
        <w:ind w:firstLine="640" w:firstLineChars="200"/>
        <w:rPr>
          <w:rFonts w:eastAsia="仿宋_GB2312"/>
          <w:bCs/>
          <w:caps/>
          <w:sz w:val="32"/>
          <w:szCs w:val="32"/>
        </w:rPr>
      </w:pPr>
      <w:r>
        <w:rPr>
          <w:rFonts w:eastAsia="仿宋_GB2312"/>
          <w:bCs/>
          <w:caps/>
          <w:sz w:val="32"/>
          <w:szCs w:val="32"/>
        </w:rPr>
        <w:t>2022年是极不寻常、极不平凡的一年，面对“三重压力”叠加“两大变量”的严峻考验，在市委市政府坚强领导下，全市上下深学笃行习近平新时代中国特色社会主义思想，深入学习贯彻党的二十大精神和中央经济工作会议精神，认真落实习近平总书记“疫情要防住、经济要稳住、发展要安全”的指示要求，按照中央和省委、金华市委的工作部署，知难而进、沉着应对，以超常规的力度和举措打好稳进提质、除险保安、塑造变革组合拳。全市经济运行总体稳定。</w:t>
      </w:r>
    </w:p>
    <w:p>
      <w:pPr>
        <w:spacing w:line="560" w:lineRule="exact"/>
        <w:ind w:firstLine="723" w:firstLineChars="200"/>
        <w:jc w:val="left"/>
        <w:outlineLvl w:val="0"/>
        <w:rPr>
          <w:rFonts w:eastAsia="仿宋_GB2312"/>
          <w:b/>
          <w:sz w:val="36"/>
        </w:rPr>
      </w:pPr>
      <w:r>
        <w:rPr>
          <w:rFonts w:eastAsia="仿宋_GB2312"/>
          <w:b/>
          <w:sz w:val="36"/>
        </w:rPr>
        <w:t>一、综合</w:t>
      </w:r>
    </w:p>
    <w:p>
      <w:pPr>
        <w:spacing w:line="560" w:lineRule="exact"/>
        <w:ind w:firstLine="640" w:firstLineChars="200"/>
        <w:rPr>
          <w:rFonts w:eastAsia="仿宋_GB2312"/>
          <w:bCs/>
          <w:sz w:val="32"/>
        </w:rPr>
      </w:pPr>
      <w:r>
        <w:rPr>
          <w:rFonts w:eastAsia="仿宋_GB2312"/>
          <w:bCs/>
          <w:sz w:val="32"/>
        </w:rPr>
        <w:t>初步核算，2022年全市实现地区生产总值（GDP）1835.54亿元，按可比价计算，同比增长4.6%。其中第一产业增加值26.91亿元，增长1.5%；第二产业增加值616.28亿元，增长8.2%；第三产业增加值1192.35亿元，增长3.0%。全市按户籍人口计算人均GDP达到208291元（按年平均汇率折算为30968美元），增长2.4%，按常住人口计算人均GDP达到97299元，增长3.9%。三次产业结构由上年的1.4:32.0:66.6调整为1.4:33.6:65.0，第二产业比重比上年提高1.6个百分点。</w:t>
      </w:r>
    </w:p>
    <w:p>
      <w:pPr>
        <w:jc w:val="center"/>
        <w:rPr>
          <w:rFonts w:ascii="仿宋_GB2312" w:hAnsi="仿宋" w:eastAsia="仿宋_GB2312"/>
          <w:bCs/>
          <w:sz w:val="32"/>
        </w:rPr>
      </w:pPr>
      <w:r>
        <w:rPr>
          <w:rFonts w:hint="eastAsia" w:ascii="仿宋_GB2312" w:hAnsi="仿宋" w:eastAsia="仿宋_GB2312" w:cs="宋体"/>
          <w:color w:val="2B2B2B"/>
          <w:kern w:val="0"/>
          <w:sz w:val="24"/>
        </w:rPr>
        <w:t>图1  2018-2022年地区生产总值与增长速度</w:t>
      </w:r>
    </w:p>
    <w:p>
      <w:pPr>
        <w:ind w:firstLine="420" w:firstLineChars="200"/>
        <w:jc w:val="center"/>
        <w:rPr>
          <w:rFonts w:ascii="仿宋_GB2312" w:hAnsi="仿宋" w:eastAsia="仿宋_GB2312"/>
          <w:bCs/>
          <w:sz w:val="32"/>
        </w:rPr>
      </w:pPr>
      <w:r>
        <w:drawing>
          <wp:inline distT="0" distB="0" distL="0" distR="0">
            <wp:extent cx="4244340" cy="2713355"/>
            <wp:effectExtent l="6091" t="6095" r="6853" b="419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adjustRightInd w:val="0"/>
        <w:spacing w:line="560" w:lineRule="exact"/>
        <w:ind w:firstLine="640" w:firstLineChars="200"/>
        <w:rPr>
          <w:rFonts w:eastAsia="仿宋_GB2312"/>
          <w:sz w:val="32"/>
        </w:rPr>
      </w:pPr>
      <w:r>
        <w:rPr>
          <w:rFonts w:eastAsia="仿宋_GB2312"/>
          <w:sz w:val="32"/>
        </w:rPr>
        <w:t>全年城镇新增就业42376人，城镇失业人员再就业5137人，其中就业困难人员再就业1001人。年末城镇登记失业人员5189人，登记失业率0.9%。</w:t>
      </w:r>
    </w:p>
    <w:p>
      <w:pPr>
        <w:spacing w:line="560" w:lineRule="exact"/>
        <w:ind w:firstLine="723" w:firstLineChars="200"/>
        <w:jc w:val="left"/>
        <w:outlineLvl w:val="0"/>
        <w:rPr>
          <w:rFonts w:eastAsia="仿宋_GB2312"/>
          <w:b/>
          <w:sz w:val="36"/>
        </w:rPr>
      </w:pPr>
      <w:r>
        <w:rPr>
          <w:rFonts w:eastAsia="仿宋_GB2312"/>
          <w:b/>
          <w:sz w:val="36"/>
        </w:rPr>
        <w:t>二、农业和新农村建设</w:t>
      </w:r>
    </w:p>
    <w:p>
      <w:pPr>
        <w:spacing w:line="560" w:lineRule="exact"/>
        <w:ind w:firstLine="640" w:firstLineChars="200"/>
        <w:rPr>
          <w:rFonts w:eastAsia="仿宋_GB2312"/>
          <w:kern w:val="0"/>
          <w:sz w:val="32"/>
          <w:szCs w:val="32"/>
        </w:rPr>
      </w:pPr>
      <w:r>
        <w:rPr>
          <w:rFonts w:eastAsia="仿宋_GB2312"/>
          <w:kern w:val="0"/>
          <w:sz w:val="32"/>
          <w:szCs w:val="32"/>
        </w:rPr>
        <w:t>2022年全市完成农林牧渔业总产值40.26亿元，比上年增长1.8%；实现增加值27.43亿元，按可比价增长1.7%。</w:t>
      </w:r>
    </w:p>
    <w:p>
      <w:pPr>
        <w:jc w:val="center"/>
        <w:rPr>
          <w:rFonts w:ascii="仿宋_GB2312" w:hAnsi="仿宋" w:eastAsia="仿宋_GB2312" w:cs="宋体"/>
          <w:kern w:val="0"/>
          <w:sz w:val="32"/>
          <w:szCs w:val="32"/>
        </w:rPr>
      </w:pPr>
      <w:r>
        <w:rPr>
          <w:rFonts w:hint="eastAsia" w:ascii="仿宋_GB2312" w:hAnsi="仿宋" w:eastAsia="仿宋_GB2312" w:cs="宋体"/>
          <w:color w:val="2B2B2B"/>
          <w:kern w:val="0"/>
          <w:sz w:val="24"/>
        </w:rPr>
        <w:t>图2  2018-2022年农林牧渔业增加值与增长速度</w:t>
      </w:r>
    </w:p>
    <w:p>
      <w:pPr>
        <w:ind w:firstLine="420" w:firstLineChars="200"/>
        <w:jc w:val="center"/>
        <w:rPr>
          <w:rFonts w:ascii="仿宋_GB2312" w:hAnsi="仿宋" w:eastAsia="仿宋_GB2312" w:cs="宋体"/>
          <w:kern w:val="0"/>
          <w:sz w:val="32"/>
          <w:szCs w:val="32"/>
        </w:rPr>
      </w:pPr>
      <w:r>
        <w:drawing>
          <wp:inline distT="0" distB="0" distL="0" distR="0">
            <wp:extent cx="4542155" cy="2912745"/>
            <wp:effectExtent l="6095" t="6092" r="4190" b="5331"/>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60" w:lineRule="exact"/>
        <w:ind w:firstLine="640" w:firstLineChars="200"/>
        <w:rPr>
          <w:rFonts w:eastAsia="仿宋_GB2312"/>
          <w:kern w:val="0"/>
          <w:sz w:val="32"/>
          <w:szCs w:val="32"/>
        </w:rPr>
      </w:pPr>
      <w:r>
        <w:rPr>
          <w:rFonts w:eastAsia="仿宋_GB2312"/>
          <w:kern w:val="0"/>
          <w:sz w:val="32"/>
          <w:szCs w:val="32"/>
        </w:rPr>
        <w:t>全年完成粮食播种面积13.06万亩，收获产量4.66万吨，比上年分别增长7.3%、4.3%，创2014年以来新高。其中谷物播种面积11.15万亩，收获产量4.22万吨，分别增长7.9%、4.4%。全年种植蔬菜12.96万亩，收获产量（含食用菌）23.30万吨，与上年基本持平。全年饲养生猪31.67万头，增长55.7%。其中年内肥猪出栏15.70万头，增长15.5%。猪肉产量1.16万吨，增长8.6%。全年饲养家禽1097.08万羽，增长1.6%，其中出栏家禽968.11万羽，增长2.3%。禽肉产量1.52万吨，增长2.5%。新增省级以上健康养殖示范场2家，成功创建省级渔业健康养殖示范县。全年淡水产品产量4118吨、增长2.4%。</w:t>
      </w:r>
    </w:p>
    <w:p>
      <w:pPr>
        <w:spacing w:line="560" w:lineRule="exact"/>
        <w:ind w:firstLine="640" w:firstLineChars="200"/>
        <w:rPr>
          <w:rFonts w:eastAsia="仿宋_GB2312"/>
          <w:kern w:val="0"/>
          <w:sz w:val="32"/>
          <w:szCs w:val="32"/>
        </w:rPr>
      </w:pPr>
      <w:r>
        <w:rPr>
          <w:rFonts w:eastAsia="仿宋_GB2312"/>
          <w:kern w:val="0"/>
          <w:sz w:val="32"/>
          <w:szCs w:val="32"/>
        </w:rPr>
        <w:t>加快农业科技创新应用。新增省级高品质绿色科技示范基地3家，金华市级农业“双强”示范基地1家。新增省级农业龙头企业1家、示范性家庭农场10家。完成农机购置补贴机具238台套，新增省级农机创新试验基地1个、省级农机服务中心2个、省级全程机械化应用基地7个。2022年荣获省级农业“机器换人”高质量发展先行县。</w:t>
      </w:r>
    </w:p>
    <w:p>
      <w:pPr>
        <w:spacing w:line="560" w:lineRule="exact"/>
        <w:ind w:firstLine="640" w:firstLineChars="200"/>
        <w:rPr>
          <w:rFonts w:eastAsia="仿宋_GB2312"/>
          <w:kern w:val="0"/>
          <w:sz w:val="32"/>
          <w:szCs w:val="32"/>
        </w:rPr>
      </w:pPr>
      <w:r>
        <w:rPr>
          <w:rFonts w:eastAsia="仿宋_GB2312"/>
          <w:kern w:val="0"/>
          <w:sz w:val="32"/>
          <w:szCs w:val="32"/>
        </w:rPr>
        <w:t>新时代美丽乡村稳步推进。新增新时代美丽乡村达标村46个、精品村50个，累计获评省新时代美丽乡村达标村398个、精品村178个，新时代美丽乡村覆盖率达到90%。新增省级美丽乡村示范乡镇2个、省特色精品村7个，后宅街道李祖村获评省美丽庭院特色村。强村富民行动稳步提升。全市442个村集体年经营性收入全部达到50万元以上，其中134个村达到100万元以上。全力推动休闲农业、农家乐、乡村旅游等新兴业态复苏发展，休闲农业总产值达2.2亿元，其中农家乐营业收入1.52亿元，同比分别上升19.61%和0.1%。</w:t>
      </w:r>
    </w:p>
    <w:p>
      <w:pPr>
        <w:spacing w:line="560" w:lineRule="exact"/>
        <w:ind w:firstLine="723" w:firstLineChars="200"/>
        <w:jc w:val="left"/>
        <w:outlineLvl w:val="0"/>
        <w:rPr>
          <w:rFonts w:eastAsia="仿宋_GB2312"/>
          <w:b/>
          <w:sz w:val="36"/>
        </w:rPr>
      </w:pPr>
      <w:r>
        <w:rPr>
          <w:rFonts w:eastAsia="仿宋_GB2312"/>
          <w:b/>
          <w:sz w:val="36"/>
        </w:rPr>
        <w:t>三、工业和建筑业</w:t>
      </w:r>
    </w:p>
    <w:p>
      <w:pPr>
        <w:spacing w:line="560" w:lineRule="exact"/>
        <w:ind w:firstLine="640" w:firstLineChars="200"/>
        <w:rPr>
          <w:rFonts w:eastAsia="仿宋_GB2312"/>
          <w:sz w:val="32"/>
          <w:szCs w:val="32"/>
        </w:rPr>
      </w:pPr>
      <w:r>
        <w:rPr>
          <w:rFonts w:eastAsia="仿宋_GB2312"/>
          <w:sz w:val="32"/>
          <w:szCs w:val="32"/>
        </w:rPr>
        <w:t>全年实现工业增加值561.2亿元，增长8.7%，其中规模以上工业增加值247.3亿元，增长20.7%。规模以上工业总产值1639.3亿元，增长36.5%，销售产值1675.9亿元，增长38.9%。全年累计工业用电量75.1亿千瓦时，增长7.4%。</w:t>
      </w:r>
    </w:p>
    <w:p>
      <w:pPr>
        <w:spacing w:line="560" w:lineRule="exact"/>
        <w:ind w:firstLine="640" w:firstLineChars="200"/>
        <w:rPr>
          <w:rFonts w:eastAsia="仿宋_GB2312"/>
          <w:color w:val="353637"/>
          <w:kern w:val="0"/>
          <w:sz w:val="32"/>
          <w:szCs w:val="32"/>
        </w:rPr>
      </w:pPr>
      <w:r>
        <w:rPr>
          <w:rFonts w:eastAsia="仿宋_GB2312"/>
          <w:color w:val="353637"/>
          <w:kern w:val="0"/>
          <w:sz w:val="32"/>
          <w:szCs w:val="32"/>
        </w:rPr>
        <w:t>规模以上电气机械和器材制造业、工业纺织服装服饰业、电力热力生产和供应业、汽车制造业、文教工美体育和娱乐用品制造业、纺织业、造纸和纸制品业、金属制品业等八大主导行业实现产值1378.0亿元，占规上工业总产值84.1%，同比增长46.2%；实现营业收入1535.1亿元，同比增长55.6%；实现利润总额71.0亿元，同比增长142.2%。</w:t>
      </w:r>
    </w:p>
    <w:p>
      <w:pPr>
        <w:jc w:val="center"/>
        <w:rPr>
          <w:rFonts w:ascii="仿宋_GB2312" w:hAnsi="仿宋" w:eastAsia="仿宋_GB2312" w:cs="宋体"/>
          <w:color w:val="2B2B2B"/>
          <w:kern w:val="0"/>
          <w:sz w:val="23"/>
          <w:szCs w:val="23"/>
        </w:rPr>
      </w:pPr>
      <w:r>
        <w:rPr>
          <w:rFonts w:hint="eastAsia" w:ascii="仿宋_GB2312" w:hAnsi="仿宋" w:eastAsia="仿宋_GB2312" w:cs="宋体"/>
          <w:color w:val="2B2B2B"/>
          <w:kern w:val="0"/>
          <w:sz w:val="23"/>
          <w:szCs w:val="23"/>
        </w:rPr>
        <w:t>图3   2018-2022年规模以上工业总产值与增长速度</w:t>
      </w:r>
    </w:p>
    <w:p>
      <w:pPr>
        <w:ind w:firstLine="200"/>
        <w:jc w:val="center"/>
        <w:rPr>
          <w:rFonts w:ascii="仿宋_GB2312" w:hAnsi="仿宋" w:eastAsia="仿宋_GB2312" w:cs="宋体"/>
          <w:color w:val="2B2B2B"/>
          <w:kern w:val="0"/>
          <w:sz w:val="23"/>
          <w:szCs w:val="23"/>
        </w:rPr>
      </w:pPr>
      <w:r>
        <w:drawing>
          <wp:inline distT="0" distB="0" distL="0" distR="0">
            <wp:extent cx="4369435" cy="2797175"/>
            <wp:effectExtent l="19050" t="0" r="11654" b="2909"/>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200"/>
        <w:jc w:val="center"/>
        <w:rPr>
          <w:rFonts w:ascii="仿宋_GB2312" w:hAnsi="仿宋" w:eastAsia="仿宋_GB2312" w:cs="宋体"/>
          <w:color w:val="2B2B2B"/>
          <w:kern w:val="0"/>
          <w:sz w:val="23"/>
          <w:szCs w:val="23"/>
        </w:rPr>
      </w:pPr>
    </w:p>
    <w:p>
      <w:pPr>
        <w:ind w:firstLine="200"/>
        <w:jc w:val="center"/>
        <w:rPr>
          <w:rFonts w:ascii="仿宋_GB2312" w:hAnsi="仿宋" w:eastAsia="仿宋_GB2312" w:cs="宋体"/>
          <w:color w:val="2B2B2B"/>
          <w:kern w:val="0"/>
          <w:sz w:val="23"/>
          <w:szCs w:val="23"/>
        </w:rPr>
      </w:pPr>
    </w:p>
    <w:p>
      <w:pPr>
        <w:ind w:firstLine="200"/>
        <w:jc w:val="center"/>
        <w:rPr>
          <w:rFonts w:ascii="仿宋_GB2312" w:hAnsi="仿宋" w:eastAsia="仿宋_GB2312" w:cs="宋体"/>
          <w:color w:val="2B2B2B"/>
          <w:kern w:val="0"/>
          <w:sz w:val="23"/>
          <w:szCs w:val="23"/>
        </w:rPr>
      </w:pPr>
    </w:p>
    <w:p>
      <w:pPr>
        <w:ind w:firstLine="200"/>
        <w:jc w:val="center"/>
        <w:rPr>
          <w:rFonts w:ascii="仿宋_GB2312" w:hAnsi="仿宋" w:eastAsia="仿宋_GB2312" w:cs="宋体"/>
          <w:color w:val="2B2B2B"/>
          <w:kern w:val="0"/>
          <w:sz w:val="23"/>
          <w:szCs w:val="23"/>
        </w:rPr>
      </w:pPr>
    </w:p>
    <w:p>
      <w:pPr>
        <w:ind w:firstLine="200"/>
        <w:jc w:val="center"/>
        <w:rPr>
          <w:rFonts w:ascii="仿宋_GB2312" w:hAnsi="仿宋" w:eastAsia="仿宋_GB2312" w:cs="宋体"/>
          <w:color w:val="2B2B2B"/>
          <w:kern w:val="0"/>
          <w:sz w:val="23"/>
          <w:szCs w:val="23"/>
        </w:rPr>
      </w:pPr>
    </w:p>
    <w:p>
      <w:pPr>
        <w:ind w:firstLine="200"/>
        <w:jc w:val="center"/>
        <w:rPr>
          <w:rFonts w:hint="eastAsia" w:ascii="仿宋_GB2312" w:hAnsi="仿宋" w:eastAsia="仿宋_GB2312" w:cs="宋体"/>
          <w:color w:val="2B2B2B"/>
          <w:kern w:val="0"/>
          <w:sz w:val="23"/>
          <w:szCs w:val="23"/>
        </w:rPr>
      </w:pPr>
    </w:p>
    <w:p>
      <w:pPr>
        <w:ind w:firstLine="200"/>
        <w:jc w:val="center"/>
        <w:rPr>
          <w:rFonts w:hint="eastAsia" w:ascii="仿宋_GB2312" w:hAnsi="仿宋" w:eastAsia="仿宋_GB2312" w:cs="宋体"/>
          <w:color w:val="2B2B2B"/>
          <w:kern w:val="0"/>
          <w:sz w:val="23"/>
          <w:szCs w:val="23"/>
        </w:rPr>
      </w:pPr>
    </w:p>
    <w:p>
      <w:pPr>
        <w:ind w:firstLine="200"/>
        <w:jc w:val="center"/>
        <w:rPr>
          <w:rFonts w:ascii="仿宋_GB2312" w:hAnsi="仿宋" w:eastAsia="仿宋_GB2312" w:cs="宋体"/>
          <w:color w:val="2B2B2B"/>
          <w:kern w:val="0"/>
          <w:sz w:val="23"/>
          <w:szCs w:val="23"/>
        </w:rPr>
      </w:pPr>
    </w:p>
    <w:p>
      <w:pPr>
        <w:ind w:firstLine="200"/>
        <w:jc w:val="center"/>
        <w:rPr>
          <w:rFonts w:ascii="仿宋_GB2312" w:hAnsi="仿宋" w:eastAsia="仿宋_GB2312" w:cs="宋体"/>
          <w:color w:val="2B2B2B"/>
          <w:kern w:val="0"/>
          <w:sz w:val="23"/>
          <w:szCs w:val="23"/>
        </w:rPr>
      </w:pPr>
      <w:r>
        <w:rPr>
          <w:rFonts w:hint="eastAsia" w:ascii="仿宋_GB2312" w:hAnsi="仿宋" w:eastAsia="仿宋_GB2312" w:cs="宋体"/>
          <w:color w:val="2B2B2B"/>
          <w:kern w:val="0"/>
          <w:sz w:val="23"/>
          <w:szCs w:val="23"/>
        </w:rPr>
        <w:t>图4   2018-2022年工业用电量与增长速度</w:t>
      </w:r>
    </w:p>
    <w:p>
      <w:pPr>
        <w:ind w:firstLine="200"/>
        <w:jc w:val="center"/>
        <w:rPr>
          <w:rFonts w:ascii="仿宋_GB2312" w:hAnsi="仿宋" w:eastAsia="仿宋_GB2312" w:cs="宋体"/>
          <w:color w:val="2B2B2B"/>
          <w:kern w:val="0"/>
          <w:sz w:val="23"/>
          <w:szCs w:val="23"/>
        </w:rPr>
      </w:pPr>
      <w:r>
        <w:drawing>
          <wp:inline distT="0" distB="0" distL="0" distR="0">
            <wp:extent cx="4284345" cy="2842895"/>
            <wp:effectExtent l="6093" t="6105" r="5332" b="839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60" w:lineRule="exact"/>
        <w:ind w:firstLine="640" w:firstLineChars="200"/>
        <w:rPr>
          <w:rFonts w:eastAsia="仿宋_GB2312"/>
          <w:color w:val="353637"/>
          <w:kern w:val="0"/>
          <w:sz w:val="32"/>
          <w:szCs w:val="32"/>
        </w:rPr>
      </w:pPr>
      <w:r>
        <w:rPr>
          <w:rFonts w:eastAsia="仿宋_GB2312"/>
          <w:color w:val="353637"/>
          <w:kern w:val="0"/>
          <w:sz w:val="32"/>
          <w:szCs w:val="32"/>
        </w:rPr>
        <w:t>规模以上数字经济核心产业制造业、高新技术产业、装备制造业、战略性新兴产业增加值分别增长52.7%、30.2%、52.5%和45.6%，增速分别比规上工业增加值快32.0、9.5、31.8和24.9个百分点，占规上工业的比重分别为38.1%、74.1%、47.8%和51.8%，产业结构持续优化，产业层次不断升级，新兴产业增长强劲。</w:t>
      </w:r>
    </w:p>
    <w:p>
      <w:pPr>
        <w:spacing w:line="560" w:lineRule="exact"/>
        <w:ind w:firstLine="640" w:firstLineChars="200"/>
        <w:rPr>
          <w:rFonts w:eastAsia="仿宋_GB2312"/>
          <w:color w:val="353637"/>
          <w:kern w:val="0"/>
          <w:sz w:val="32"/>
          <w:szCs w:val="32"/>
        </w:rPr>
      </w:pPr>
      <w:r>
        <w:rPr>
          <w:rFonts w:eastAsia="仿宋_GB2312"/>
          <w:color w:val="353637"/>
          <w:kern w:val="0"/>
          <w:sz w:val="32"/>
          <w:szCs w:val="32"/>
        </w:rPr>
        <w:t>2022年，建筑业生产实现平稳增长。全市完成建筑业产值165.2亿元，同比增长6.7%，较上年同期提高14.2个百分点。本年新签合同额回升。全市建筑业企业签订合同总额298.9亿元，同比增长7.7%，其中，本年新签合同额162.0亿元，同比增长7.6%。新开工面积高位增长。全市建筑业房屋施工面积1421.8万方，同比增长14.1%，其中，新开工面积416.9万方，同比增长30.3%。</w:t>
      </w:r>
    </w:p>
    <w:p>
      <w:pPr>
        <w:spacing w:line="560" w:lineRule="exact"/>
        <w:ind w:firstLine="723" w:firstLineChars="200"/>
        <w:jc w:val="left"/>
        <w:outlineLvl w:val="0"/>
        <w:rPr>
          <w:rFonts w:eastAsia="仿宋_GB2312"/>
          <w:b/>
          <w:sz w:val="36"/>
        </w:rPr>
      </w:pPr>
      <w:r>
        <w:rPr>
          <w:rFonts w:eastAsia="仿宋_GB2312"/>
          <w:b/>
          <w:sz w:val="36"/>
        </w:rPr>
        <w:t>四、固定资产投资和房地产业</w:t>
      </w:r>
    </w:p>
    <w:p>
      <w:pPr>
        <w:spacing w:line="560" w:lineRule="exact"/>
        <w:ind w:firstLine="640" w:firstLineChars="200"/>
        <w:rPr>
          <w:rFonts w:ascii="仿宋_GB2312" w:hAnsi="仿宋" w:eastAsia="仿宋_GB2312" w:cs="宋体"/>
          <w:color w:val="2B2B2B"/>
          <w:kern w:val="0"/>
          <w:sz w:val="23"/>
          <w:szCs w:val="23"/>
        </w:rPr>
      </w:pPr>
      <w:r>
        <w:rPr>
          <w:rFonts w:eastAsia="仿宋_GB2312"/>
          <w:color w:val="353637"/>
          <w:kern w:val="0"/>
          <w:sz w:val="32"/>
          <w:szCs w:val="32"/>
        </w:rPr>
        <w:t>全年固定资产投资比上年增长15.8%，两年平均增长18%。三次产业投资稳步推进。第一、二、三产业投资占固定资产投资的比重分别为0.3%、16.8%和82.9%，全年增速分别为-45.9%、10.2%和17.5%，第三产业对全市固定资产投资增长拉动14.8个百分点。制造业投资增长5.3%，拉动投资增长0.9个百分点。基础设施投资增长4.6%，拉动投资增长1.0个百分点。民间投资比上年增长12.7%，拉动全部投资增长7.8个百分点。其中，民间项目投资增长14.5</w:t>
      </w:r>
      <w:r>
        <w:rPr>
          <w:rFonts w:hint="eastAsia" w:eastAsia="仿宋_GB2312"/>
          <w:color w:val="353637"/>
          <w:kern w:val="0"/>
          <w:sz w:val="32"/>
          <w:szCs w:val="32"/>
        </w:rPr>
        <w:t>。</w:t>
      </w:r>
    </w:p>
    <w:p>
      <w:pPr>
        <w:spacing w:line="560" w:lineRule="exact"/>
        <w:jc w:val="center"/>
        <w:rPr>
          <w:rFonts w:eastAsia="仿宋_GB2312"/>
          <w:color w:val="353637"/>
          <w:kern w:val="0"/>
          <w:sz w:val="32"/>
          <w:szCs w:val="32"/>
        </w:rPr>
      </w:pPr>
      <w:r>
        <w:rPr>
          <w:rFonts w:hint="eastAsia" w:ascii="仿宋_GB2312" w:hAnsi="仿宋" w:eastAsia="仿宋_GB2312" w:cs="宋体"/>
          <w:color w:val="2B2B2B"/>
          <w:kern w:val="0"/>
          <w:sz w:val="23"/>
          <w:szCs w:val="23"/>
        </w:rPr>
        <w:t>图5   2018-2022年固定资产投资增速</w:t>
      </w:r>
    </w:p>
    <w:p>
      <w:pPr>
        <w:ind w:firstLine="420" w:firstLineChars="200"/>
        <w:jc w:val="center"/>
        <w:rPr>
          <w:rFonts w:ascii="仿宋_GB2312" w:hAnsi="仿宋" w:eastAsia="仿宋_GB2312" w:cs="宋体"/>
          <w:color w:val="353637"/>
          <w:kern w:val="0"/>
          <w:sz w:val="32"/>
          <w:szCs w:val="32"/>
        </w:rPr>
      </w:pPr>
      <w:r>
        <w:drawing>
          <wp:inline distT="0" distB="0" distL="0" distR="0">
            <wp:extent cx="4568825" cy="2740025"/>
            <wp:effectExtent l="6093" t="6090" r="6093" b="609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60" w:lineRule="exact"/>
        <w:ind w:firstLine="640" w:firstLineChars="200"/>
        <w:rPr>
          <w:rFonts w:eastAsia="仿宋_GB2312"/>
          <w:color w:val="353637"/>
          <w:kern w:val="0"/>
          <w:sz w:val="32"/>
          <w:szCs w:val="32"/>
        </w:rPr>
      </w:pPr>
      <w:r>
        <w:rPr>
          <w:rFonts w:eastAsia="仿宋_GB2312"/>
          <w:color w:val="353637"/>
          <w:kern w:val="0"/>
          <w:sz w:val="32"/>
          <w:szCs w:val="32"/>
        </w:rPr>
        <w:t>房地产开发投资比上年增长15.0%，拉动投资增长6.7个百分点。其中，住宅投资235亿元，同比增长17.2%；商业营业用房投资23.5亿元，同比增长32.0%。</w:t>
      </w:r>
    </w:p>
    <w:p>
      <w:pPr>
        <w:spacing w:line="560" w:lineRule="exact"/>
        <w:ind w:firstLine="723" w:firstLineChars="200"/>
        <w:outlineLvl w:val="0"/>
        <w:rPr>
          <w:rFonts w:eastAsia="仿宋_GB2312"/>
          <w:color w:val="353637"/>
          <w:kern w:val="0"/>
          <w:sz w:val="32"/>
          <w:szCs w:val="32"/>
        </w:rPr>
      </w:pPr>
      <w:r>
        <w:rPr>
          <w:rFonts w:eastAsia="仿宋_GB2312"/>
          <w:b/>
          <w:sz w:val="36"/>
        </w:rPr>
        <w:t>五、国内贸易</w:t>
      </w:r>
    </w:p>
    <w:p>
      <w:pPr>
        <w:spacing w:line="560" w:lineRule="exact"/>
        <w:ind w:firstLine="640" w:firstLineChars="200"/>
        <w:rPr>
          <w:rFonts w:eastAsia="仿宋_GB2312"/>
          <w:sz w:val="32"/>
        </w:rPr>
      </w:pPr>
      <w:r>
        <w:rPr>
          <w:rFonts w:eastAsia="仿宋_GB2312"/>
          <w:sz w:val="32"/>
        </w:rPr>
        <w:t>全年实现社会消费品零售总额1057.8亿元，同比增长2.3%。其中，限额以上单位实现社会消费品零售总额250.2亿元，同比增长5.0%；除汽车以外的消费品零售额84.0亿元，同比增长1.0%。分行业看，限上批发业零售额8.1亿，增长1.9%；限上零售业零售额238.3亿，增长5.5%；限上住宿业零售额1.8亿，下降11.4%；限上餐饮业零售额2.1亿，下降16.6%。</w:t>
      </w:r>
    </w:p>
    <w:p>
      <w:pPr>
        <w:ind w:firstLine="460" w:firstLineChars="200"/>
        <w:jc w:val="center"/>
        <w:rPr>
          <w:rFonts w:ascii="仿宋_GB2312" w:hAnsi="仿宋" w:eastAsia="仿宋_GB2312" w:cs="宋体"/>
          <w:color w:val="2B2B2B"/>
          <w:kern w:val="0"/>
          <w:sz w:val="23"/>
          <w:szCs w:val="23"/>
        </w:rPr>
      </w:pPr>
      <w:r>
        <w:rPr>
          <w:rFonts w:hint="eastAsia" w:ascii="仿宋_GB2312" w:hAnsi="仿宋" w:eastAsia="仿宋_GB2312" w:cs="宋体"/>
          <w:color w:val="2B2B2B"/>
          <w:kern w:val="0"/>
          <w:sz w:val="23"/>
          <w:szCs w:val="23"/>
        </w:rPr>
        <w:t>图6   2018-2022年社会消费品零售总额与增长速度</w:t>
      </w:r>
    </w:p>
    <w:p>
      <w:pPr>
        <w:ind w:firstLine="420" w:firstLineChars="200"/>
        <w:jc w:val="center"/>
        <w:rPr>
          <w:rFonts w:ascii="仿宋_GB2312" w:hAnsi="仿宋" w:eastAsia="仿宋_GB2312" w:cs="宋体"/>
          <w:color w:val="2B2B2B"/>
          <w:kern w:val="0"/>
          <w:sz w:val="23"/>
          <w:szCs w:val="23"/>
        </w:rPr>
      </w:pPr>
      <w:r>
        <w:drawing>
          <wp:inline distT="0" distB="0" distL="0" distR="0">
            <wp:extent cx="4568825" cy="2740025"/>
            <wp:effectExtent l="6093" t="6090" r="6093" b="609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560" w:lineRule="exact"/>
        <w:ind w:firstLine="640" w:firstLineChars="200"/>
        <w:rPr>
          <w:rFonts w:eastAsia="仿宋_GB2312"/>
          <w:color w:val="353637"/>
          <w:kern w:val="0"/>
          <w:sz w:val="32"/>
          <w:szCs w:val="32"/>
        </w:rPr>
      </w:pPr>
      <w:r>
        <w:rPr>
          <w:rFonts w:eastAsia="仿宋_GB2312"/>
          <w:color w:val="353637"/>
          <w:kern w:val="0"/>
          <w:sz w:val="32"/>
          <w:szCs w:val="32"/>
        </w:rPr>
        <w:t>消费品市场运行平稳，基本生活类消费向好，粮油类、肉蛋禽类、蔬菜类、烟酒类和日用品类零售同比分别增长17.0%、30.3%、11.3%、28.6%和12.8%；汽车消费市场回暖，限上单位实现汽车零售166.2亿元，同比增长7.3%，占限上社零比重66.4%；住餐消费缓慢复苏，限上住宿和餐饮业零售额的全年降幅较上半年分别收窄11.1和7.3个百分点。</w:t>
      </w:r>
    </w:p>
    <w:p>
      <w:pPr>
        <w:spacing w:line="560" w:lineRule="exact"/>
        <w:ind w:firstLine="640" w:firstLineChars="200"/>
        <w:rPr>
          <w:rFonts w:eastAsia="仿宋_GB2312"/>
          <w:color w:val="353637"/>
          <w:kern w:val="0"/>
          <w:sz w:val="32"/>
          <w:szCs w:val="32"/>
        </w:rPr>
      </w:pPr>
      <w:r>
        <w:rPr>
          <w:rFonts w:eastAsia="仿宋_GB2312"/>
          <w:sz w:val="32"/>
          <w:szCs w:val="32"/>
        </w:rPr>
        <w:t>全市在册经济主体总数为89.82万户（其中外资8558户），同比增长13.6%。新设内资经济主体180023户，同比下降8.58%，其中内资企业46039户，同比下降14.98%；个体工商户133984户，同比下降6.16% 。12月份义乌市场景气指数为1310.09点。</w:t>
      </w:r>
    </w:p>
    <w:p>
      <w:pPr>
        <w:spacing w:line="560" w:lineRule="exact"/>
        <w:ind w:firstLine="640" w:firstLineChars="200"/>
        <w:rPr>
          <w:rFonts w:eastAsia="仿宋_GB2312"/>
          <w:sz w:val="32"/>
          <w:szCs w:val="32"/>
        </w:rPr>
      </w:pPr>
      <w:r>
        <w:rPr>
          <w:rFonts w:eastAsia="仿宋_GB2312"/>
          <w:sz w:val="32"/>
          <w:szCs w:val="32"/>
        </w:rPr>
        <w:t>全市拥有有证市场建筑面积611万平方米，市场经营户数8.48万户，市场从业人员数23万人，总成交额2322.83亿元，增长6.9%，其中中国小商品城成交额2020.86亿元，增长8.3%。全年义乌城区公、铁、航客流量1266.7万人次，外商入境28554人次；市场周边银行网点共实现资金、现金总流量28415.4亿元。</w:t>
      </w:r>
    </w:p>
    <w:p>
      <w:pPr>
        <w:ind w:firstLine="200"/>
        <w:jc w:val="center"/>
        <w:rPr>
          <w:rFonts w:ascii="仿宋_GB2312" w:hAnsi="仿宋" w:eastAsia="仿宋_GB2312" w:cs="宋体"/>
          <w:kern w:val="0"/>
          <w:sz w:val="23"/>
          <w:szCs w:val="23"/>
        </w:rPr>
      </w:pPr>
      <w:r>
        <w:rPr>
          <w:rFonts w:hint="eastAsia" w:ascii="仿宋_GB2312" w:hAnsi="仿宋" w:eastAsia="仿宋_GB2312" w:cs="宋体"/>
          <w:kern w:val="0"/>
          <w:sz w:val="23"/>
          <w:szCs w:val="23"/>
        </w:rPr>
        <w:t>图7   2018-2022年集贸市场成交额与增长速度</w:t>
      </w:r>
    </w:p>
    <w:p>
      <w:pPr>
        <w:ind w:firstLine="200"/>
        <w:jc w:val="center"/>
        <w:rPr>
          <w:rFonts w:ascii="仿宋_GB2312" w:hAnsi="仿宋" w:eastAsia="仿宋_GB2312"/>
          <w:b/>
          <w:bCs/>
          <w:sz w:val="24"/>
          <w:szCs w:val="22"/>
        </w:rPr>
      </w:pPr>
      <w:r>
        <w:drawing>
          <wp:inline distT="0" distB="0" distL="0" distR="0">
            <wp:extent cx="4568825" cy="2740025"/>
            <wp:effectExtent l="6093" t="6090" r="6093" b="609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12"/>
        <w:spacing w:before="0" w:beforeAutospacing="0" w:after="0" w:afterAutospacing="0"/>
        <w:rPr>
          <w:rFonts w:ascii="仿宋_GB2312" w:hAnsi="仿宋" w:eastAsia="仿宋_GB2312"/>
          <w:sz w:val="23"/>
          <w:szCs w:val="23"/>
        </w:rPr>
      </w:pPr>
    </w:p>
    <w:p>
      <w:pPr>
        <w:pStyle w:val="12"/>
        <w:spacing w:before="0" w:beforeAutospacing="0" w:after="0" w:afterAutospacing="0"/>
        <w:ind w:firstLine="200"/>
        <w:jc w:val="center"/>
        <w:rPr>
          <w:rFonts w:ascii="仿宋_GB2312" w:hAnsi="仿宋" w:eastAsia="仿宋_GB2312"/>
          <w:sz w:val="23"/>
          <w:szCs w:val="23"/>
        </w:rPr>
      </w:pPr>
      <w:r>
        <w:rPr>
          <w:rFonts w:hint="eastAsia" w:ascii="仿宋_GB2312" w:hAnsi="仿宋" w:eastAsia="仿宋_GB2312"/>
          <w:sz w:val="23"/>
          <w:szCs w:val="23"/>
        </w:rPr>
        <w:t>图8   2018-2022年中国小商品城成交额与增长速度</w:t>
      </w:r>
    </w:p>
    <w:p>
      <w:pPr>
        <w:pStyle w:val="12"/>
        <w:spacing w:before="0" w:beforeAutospacing="0" w:after="0" w:afterAutospacing="0"/>
        <w:ind w:firstLine="200"/>
        <w:jc w:val="center"/>
        <w:rPr>
          <w:rFonts w:ascii="仿宋_GB2312" w:eastAsia="仿宋_GB2312"/>
          <w:sz w:val="23"/>
          <w:szCs w:val="23"/>
        </w:rPr>
      </w:pPr>
      <w:r>
        <w:drawing>
          <wp:inline distT="0" distB="0" distL="0" distR="0">
            <wp:extent cx="4568825" cy="2740025"/>
            <wp:effectExtent l="6093" t="6090" r="6093" b="609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560" w:lineRule="exact"/>
        <w:ind w:firstLine="640" w:firstLineChars="200"/>
        <w:rPr>
          <w:rFonts w:eastAsia="仿宋_GB2312"/>
          <w:sz w:val="32"/>
          <w:szCs w:val="32"/>
        </w:rPr>
      </w:pPr>
      <w:r>
        <w:rPr>
          <w:rFonts w:eastAsia="仿宋_GB2312"/>
          <w:sz w:val="32"/>
          <w:szCs w:val="32"/>
        </w:rPr>
        <w:t>全年实现电子商务交易额3907.28亿元，同比增长5.2%，其中电子商务内贸交易额2823.78亿元，同比增长4.5%；跨境电子商务交易额1083.5亿元，同比增长6.9%。全市实现网络零售额2272.28亿元，同比增长3.9%，连续六年位居全省各县（市、区）第一。全年跨境电商保税进口（1210）业务量为3825.21万票，销售额68亿元，同比增长60%。2022年新增电商村25个，累计达222个，电商镇13个，省级电子商务示范村95个，数量继续领跑全国。</w:t>
      </w:r>
    </w:p>
    <w:p>
      <w:pPr>
        <w:spacing w:line="560" w:lineRule="exact"/>
        <w:ind w:firstLine="640" w:firstLineChars="200"/>
        <w:rPr>
          <w:rFonts w:eastAsia="仿宋_GB2312"/>
          <w:sz w:val="32"/>
          <w:szCs w:val="32"/>
        </w:rPr>
      </w:pPr>
      <w:r>
        <w:rPr>
          <w:rFonts w:eastAsia="仿宋_GB2312"/>
          <w:sz w:val="32"/>
          <w:szCs w:val="32"/>
        </w:rPr>
        <w:t>全年举办商业性展览项目14个，展览面积33.6万平方米，吸引专业客商38.2万人次；配套举办线上展会，参展企业7132家，吸引观众4335万人次。组织市内145家企业参加国内重要展会，达成贸易订单5300余万元。</w:t>
      </w:r>
    </w:p>
    <w:p>
      <w:pPr>
        <w:spacing w:line="560" w:lineRule="exact"/>
        <w:ind w:firstLine="723" w:firstLineChars="200"/>
        <w:outlineLvl w:val="0"/>
        <w:rPr>
          <w:rFonts w:eastAsia="仿宋_GB2312"/>
          <w:b/>
          <w:sz w:val="36"/>
        </w:rPr>
      </w:pPr>
      <w:r>
        <w:rPr>
          <w:rFonts w:eastAsia="仿宋_GB2312"/>
          <w:b/>
          <w:sz w:val="36"/>
        </w:rPr>
        <w:t>六、对外经济</w:t>
      </w:r>
    </w:p>
    <w:p>
      <w:pPr>
        <w:spacing w:line="560" w:lineRule="exact"/>
        <w:ind w:firstLine="640" w:firstLineChars="200"/>
        <w:rPr>
          <w:rFonts w:eastAsia="仿宋_GB2312"/>
          <w:color w:val="353637"/>
          <w:kern w:val="0"/>
          <w:sz w:val="32"/>
          <w:szCs w:val="32"/>
        </w:rPr>
      </w:pPr>
      <w:r>
        <w:rPr>
          <w:rFonts w:eastAsia="仿宋_GB2312"/>
          <w:color w:val="353637"/>
          <w:kern w:val="0"/>
          <w:sz w:val="32"/>
          <w:szCs w:val="32"/>
        </w:rPr>
        <w:t>全年实现进出口总额4788.0亿元，增长22.7％。出口4316.4亿元，增长18.0％；其中一般贸易实现出口额1031.4亿元，增长40.2%，占出口额的比重为23.9%；市场采购贸易出口额3264.2亿元，增长12.6％，占全市出口额的比重为75.7％。进口471.6亿元，增长93.5％，进口消费品224.7亿元，同比增长22.7%，占全市进口总值的47.6%。其中，进口美容化妆品37.3亿元，同比增长99.3%。</w:t>
      </w:r>
    </w:p>
    <w:p>
      <w:pPr>
        <w:spacing w:line="560" w:lineRule="exact"/>
        <w:ind w:firstLine="640" w:firstLineChars="200"/>
        <w:rPr>
          <w:rFonts w:eastAsia="仿宋_GB2312"/>
          <w:color w:val="353637"/>
          <w:kern w:val="0"/>
          <w:sz w:val="32"/>
          <w:szCs w:val="32"/>
        </w:rPr>
      </w:pPr>
      <w:r>
        <w:rPr>
          <w:rFonts w:eastAsia="仿宋_GB2312"/>
          <w:color w:val="353637"/>
          <w:kern w:val="0"/>
          <w:sz w:val="32"/>
          <w:szCs w:val="32"/>
        </w:rPr>
        <w:t>2022年，义乌对非洲进出口总值840.1亿元，同比增长10.2%；对东盟进出口总值510.9亿元，同比增长1.5%；对欧盟进出口总值556.2亿元，同比增长43.6%。对美国、印度、墨西哥、荷兰、阿联酋分别进出口562.1亿元、244.0亿元、143.6亿元、141.9亿元、133.5亿元，同比分别增长35.5%、38.8%、30.5%、116.7%、48.8%。对“一带一路”沿线国家合计进出口1901.5亿元，同比增长14.5%。</w:t>
      </w:r>
    </w:p>
    <w:p>
      <w:pPr>
        <w:ind w:firstLine="200"/>
        <w:jc w:val="center"/>
        <w:rPr>
          <w:rFonts w:ascii="仿宋_GB2312" w:hAnsi="仿宋" w:eastAsia="仿宋_GB2312" w:cs="宋体"/>
          <w:color w:val="2B2B2B"/>
          <w:kern w:val="0"/>
          <w:sz w:val="23"/>
          <w:szCs w:val="23"/>
        </w:rPr>
      </w:pPr>
    </w:p>
    <w:p>
      <w:pPr>
        <w:ind w:firstLine="200"/>
        <w:jc w:val="center"/>
        <w:rPr>
          <w:rFonts w:ascii="仿宋_GB2312" w:hAnsi="仿宋" w:eastAsia="仿宋_GB2312" w:cs="宋体"/>
          <w:color w:val="2B2B2B"/>
          <w:kern w:val="0"/>
          <w:sz w:val="23"/>
          <w:szCs w:val="23"/>
        </w:rPr>
      </w:pPr>
      <w:r>
        <w:rPr>
          <w:rFonts w:hint="eastAsia" w:ascii="仿宋_GB2312" w:hAnsi="仿宋" w:eastAsia="仿宋_GB2312" w:cs="宋体"/>
          <w:color w:val="2B2B2B"/>
          <w:kern w:val="0"/>
          <w:sz w:val="23"/>
          <w:szCs w:val="23"/>
        </w:rPr>
        <w:t>图9   2018-2022年出口总额与增长速度</w:t>
      </w:r>
    </w:p>
    <w:p>
      <w:pPr>
        <w:ind w:firstLine="200"/>
        <w:jc w:val="center"/>
        <w:rPr>
          <w:rFonts w:ascii="仿宋_GB2312" w:hAnsi="仿宋" w:eastAsia="仿宋_GB2312" w:cs="宋体"/>
          <w:color w:val="2B2B2B"/>
          <w:kern w:val="0"/>
          <w:sz w:val="23"/>
          <w:szCs w:val="23"/>
        </w:rPr>
      </w:pPr>
      <w:r>
        <w:drawing>
          <wp:inline distT="0" distB="0" distL="0" distR="0">
            <wp:extent cx="4608830" cy="2740025"/>
            <wp:effectExtent l="6094" t="6090" r="4571" b="609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2"/>
        <w:spacing w:before="0" w:beforeAutospacing="0" w:after="0" w:afterAutospacing="0" w:line="560" w:lineRule="exact"/>
        <w:ind w:firstLine="640" w:firstLineChars="200"/>
        <w:jc w:val="both"/>
        <w:rPr>
          <w:rFonts w:ascii="Times New Roman" w:hAnsi="Times New Roman" w:eastAsia="仿宋_GB2312"/>
          <w:sz w:val="32"/>
        </w:rPr>
      </w:pPr>
      <w:r>
        <w:rPr>
          <w:rFonts w:ascii="Times New Roman" w:hAnsi="Times New Roman" w:eastAsia="仿宋_GB2312"/>
          <w:sz w:val="32"/>
        </w:rPr>
        <w:t>全年新批外商投资项目599个，下降17.5%；实际利用外资20799万美元，同比增长13.5%。全年新批境外投资项目5个，累计投资额585.5万美元，其中中方投资额585.5万美元。</w:t>
      </w:r>
    </w:p>
    <w:p>
      <w:pPr>
        <w:ind w:firstLine="200"/>
        <w:jc w:val="center"/>
        <w:rPr>
          <w:rFonts w:ascii="仿宋_GB2312" w:hAnsi="仿宋" w:eastAsia="仿宋_GB2312" w:cs="宋体"/>
          <w:color w:val="2B2B2B"/>
          <w:kern w:val="0"/>
          <w:sz w:val="23"/>
          <w:szCs w:val="23"/>
        </w:rPr>
      </w:pPr>
      <w:r>
        <w:rPr>
          <w:rFonts w:hint="eastAsia" w:ascii="仿宋_GB2312" w:hAnsi="仿宋" w:eastAsia="仿宋_GB2312" w:cs="宋体"/>
          <w:color w:val="2B2B2B"/>
          <w:kern w:val="0"/>
          <w:sz w:val="23"/>
          <w:szCs w:val="23"/>
        </w:rPr>
        <w:t>图10 2018-2022年实际利用外资与增长速度</w:t>
      </w:r>
    </w:p>
    <w:p>
      <w:pPr>
        <w:ind w:firstLine="200"/>
        <w:jc w:val="center"/>
        <w:rPr>
          <w:rFonts w:ascii="仿宋_GB2312" w:hAnsi="仿宋" w:eastAsia="仿宋_GB2312" w:cs="宋体"/>
          <w:color w:val="2B2B2B"/>
          <w:kern w:val="0"/>
          <w:sz w:val="23"/>
          <w:szCs w:val="23"/>
        </w:rPr>
      </w:pPr>
      <w:r>
        <w:drawing>
          <wp:inline distT="0" distB="0" distL="0" distR="0">
            <wp:extent cx="4568825" cy="2740025"/>
            <wp:effectExtent l="6093" t="6090" r="6093" b="6090"/>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560" w:lineRule="exact"/>
        <w:ind w:firstLine="723" w:firstLineChars="200"/>
        <w:outlineLvl w:val="0"/>
        <w:rPr>
          <w:rFonts w:eastAsia="仿宋_GB2312"/>
          <w:b/>
          <w:sz w:val="36"/>
        </w:rPr>
      </w:pPr>
      <w:r>
        <w:rPr>
          <w:rFonts w:eastAsia="仿宋_GB2312"/>
          <w:b/>
          <w:sz w:val="36"/>
        </w:rPr>
        <w:t>七、交通、邮电和旅游</w:t>
      </w:r>
    </w:p>
    <w:p>
      <w:pPr>
        <w:spacing w:line="560" w:lineRule="exact"/>
        <w:ind w:firstLine="640" w:firstLineChars="200"/>
        <w:rPr>
          <w:rFonts w:eastAsia="仿宋_GB2312"/>
          <w:sz w:val="32"/>
        </w:rPr>
      </w:pPr>
      <w:r>
        <w:rPr>
          <w:rFonts w:eastAsia="仿宋_GB2312"/>
          <w:sz w:val="32"/>
        </w:rPr>
        <w:t>截至2022年底全市共建成公路总里程约1546公里，境内等级公路里程约1546公里，境内一级及以上公路里程约316公里，境内高速公路里程76公里。全年共完成交通项目入统投资约89.4亿元，同比增长4.7%。</w:t>
      </w:r>
    </w:p>
    <w:p>
      <w:pPr>
        <w:spacing w:line="560" w:lineRule="exact"/>
        <w:ind w:firstLine="640" w:firstLineChars="200"/>
        <w:rPr>
          <w:rFonts w:eastAsia="仿宋_GB2312"/>
          <w:sz w:val="32"/>
        </w:rPr>
      </w:pPr>
      <w:r>
        <w:rPr>
          <w:rFonts w:eastAsia="仿宋_GB2312"/>
          <w:sz w:val="32"/>
        </w:rPr>
        <w:t>公路建设方面，临安至苍南公路佛堂互通至上佛路段公路工程二标段于2022年1月20日正式通车，佛堂镇城市化发展更具活力，双江湖高教园区师生出行愈发便利；03省道改建二期（即国贸大道）义亭镇区段、临苍公路佛堂互通至上佛路段一标段主线工程完工；义浦二线拓宽完成总体形象进度57%，G527与临苍公路义乌佛堂联络线（朝阳路下穿通道）完成形象进度56%；农村公路方面，2022年1月22日正式获评“四好农村路”全国示范县，7月30日我市东黄线被评入选浙江省首批“十大最美农村路”名单。</w:t>
      </w:r>
    </w:p>
    <w:p>
      <w:pPr>
        <w:spacing w:line="560" w:lineRule="exact"/>
        <w:ind w:firstLine="640" w:firstLineChars="200"/>
        <w:rPr>
          <w:rFonts w:eastAsia="仿宋_GB2312"/>
          <w:sz w:val="32"/>
        </w:rPr>
      </w:pPr>
      <w:r>
        <w:rPr>
          <w:rFonts w:eastAsia="仿宋_GB2312"/>
          <w:sz w:val="32"/>
        </w:rPr>
        <w:t>保障民生方面，全市共有常规公交线路223条，运营车辆1346辆，车辆清洁能源化率达到90.65%、新能源化率达到81.6%，已建成公交专用道58.2公里，日均公交客运量17.44万人次，“快干支微专”一体化公交体系不断健全，金义东城市轨道交通建成运营，绿色出行体系日趋完善，2022年我市绿色出行比例达到70.39%，绿色出行服务满意率达到95%。2022年12月29日，义乌成功获评全国首批绿色出行城市，是全省唯一获此殊荣的县级市。</w:t>
      </w:r>
    </w:p>
    <w:p>
      <w:pPr>
        <w:spacing w:line="560" w:lineRule="exact"/>
        <w:ind w:firstLine="640" w:firstLineChars="200"/>
        <w:rPr>
          <w:rFonts w:eastAsia="仿宋_GB2312"/>
          <w:sz w:val="32"/>
        </w:rPr>
      </w:pPr>
      <w:r>
        <w:rPr>
          <w:rFonts w:eastAsia="仿宋_GB2312"/>
          <w:sz w:val="32"/>
        </w:rPr>
        <w:t>义乌机场共完成总起降架次9905架，下降40.0%。全年旅客吞吐量为86.2万人次，下降48.6%。进港旅客为40.3万人次，下降50.2%，出港旅客为45.9万人次，下降47.1%。完成行货邮吞吐量12656.3吨，下降42.3%。</w:t>
      </w:r>
    </w:p>
    <w:p>
      <w:pPr>
        <w:spacing w:line="560" w:lineRule="exact"/>
        <w:ind w:firstLine="640" w:firstLineChars="200"/>
        <w:rPr>
          <w:rFonts w:eastAsia="仿宋_GB2312"/>
          <w:sz w:val="32"/>
        </w:rPr>
      </w:pPr>
      <w:r>
        <w:rPr>
          <w:rFonts w:eastAsia="仿宋_GB2312"/>
          <w:sz w:val="32"/>
        </w:rPr>
        <w:t>截至2022年底，全市机动车保有量91.47万辆,增长9.0%，其中,汽车拥有量为83.13万辆，增长7.0%，新能源汽车拥有量为2.99万辆，增长117.9%。</w:t>
      </w:r>
    </w:p>
    <w:p>
      <w:pPr>
        <w:ind w:firstLine="460" w:firstLineChars="200"/>
        <w:jc w:val="center"/>
        <w:rPr>
          <w:rFonts w:ascii="仿宋_GB2312" w:hAnsi="仿宋" w:eastAsia="仿宋_GB2312"/>
          <w:sz w:val="32"/>
        </w:rPr>
      </w:pPr>
      <w:r>
        <w:rPr>
          <w:rFonts w:hint="eastAsia" w:ascii="仿宋_GB2312" w:hAnsi="仿宋" w:eastAsia="仿宋_GB2312" w:cs="宋体"/>
          <w:color w:val="2B2B2B"/>
          <w:kern w:val="0"/>
          <w:sz w:val="23"/>
          <w:szCs w:val="23"/>
        </w:rPr>
        <w:t>图11 2018-2022年汽车拥有量与增长速度</w:t>
      </w:r>
    </w:p>
    <w:p>
      <w:pPr>
        <w:ind w:firstLine="420" w:firstLineChars="200"/>
        <w:jc w:val="center"/>
      </w:pPr>
      <w:r>
        <w:drawing>
          <wp:inline distT="0" distB="0" distL="0" distR="0">
            <wp:extent cx="4568825" cy="2740025"/>
            <wp:effectExtent l="6093" t="6090" r="6093" b="6090"/>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560" w:lineRule="exact"/>
        <w:ind w:firstLine="640" w:firstLineChars="200"/>
        <w:rPr>
          <w:rFonts w:eastAsia="仿宋_GB2312"/>
          <w:sz w:val="32"/>
        </w:rPr>
      </w:pPr>
      <w:r>
        <w:rPr>
          <w:rFonts w:eastAsia="仿宋_GB2312"/>
          <w:sz w:val="32"/>
        </w:rPr>
        <w:t>全年完成商贸货运量8014.11万吨，其中，公路货运量7590.38万吨，铁路发运量422.43万吨，航空货运量1.27万吨。全年新增物流仓储面积约15万方。圆通速递浙江总部、中通快递浙江总部一阶段建成投用，义乌国际数字物流市场、韵达智慧云物流项目等基础设施项目通过“标准地”出让，投用义乌铁路口岸货1货2线杭向卡口及围网，开展铁路口岸二期海关监管区建设。</w:t>
      </w:r>
    </w:p>
    <w:p>
      <w:pPr>
        <w:spacing w:line="560" w:lineRule="exact"/>
        <w:ind w:firstLine="640" w:firstLineChars="200"/>
        <w:rPr>
          <w:rFonts w:eastAsia="仿宋_GB2312"/>
          <w:sz w:val="32"/>
        </w:rPr>
      </w:pPr>
      <w:r>
        <w:rPr>
          <w:rFonts w:eastAsia="仿宋_GB2312"/>
          <w:sz w:val="32"/>
        </w:rPr>
        <w:t>“义新欧”班列（义乌平台）共开行1569列，发运12.93万标箱，同比增长22.8%，回程班列占比由2021年的23%提升至2022年的42.89%。海铁联运班列发运重箱8.05万标箱，同比增长17.64%。</w:t>
      </w:r>
    </w:p>
    <w:p>
      <w:pPr>
        <w:spacing w:line="560" w:lineRule="exact"/>
        <w:ind w:firstLine="640" w:firstLineChars="200"/>
        <w:rPr>
          <w:rFonts w:eastAsia="仿宋_GB2312"/>
          <w:sz w:val="32"/>
        </w:rPr>
      </w:pPr>
      <w:r>
        <w:rPr>
          <w:rFonts w:eastAsia="仿宋_GB2312"/>
          <w:sz w:val="32"/>
        </w:rPr>
        <w:t>全年邮电业务收入50.24亿元，增长19.0%，其中邮政业务收入18.02亿元，增长39.2%，电信业务收入32.21亿元，增长10.0%。年末拥有移动电话用户数276.2万户，下降2.4%，其中5G移动电话用户数130.71万户；移动互联网用户数209.2万户，互联网宽带接入用户数68.6万户。数字电视有效用户159856户、互动终端30716个、宽带24857线。</w:t>
      </w:r>
    </w:p>
    <w:p>
      <w:pPr>
        <w:spacing w:line="560" w:lineRule="exact"/>
        <w:ind w:firstLine="640" w:firstLineChars="200"/>
        <w:rPr>
          <w:rFonts w:eastAsia="仿宋_GB2312"/>
          <w:sz w:val="32"/>
        </w:rPr>
      </w:pPr>
      <w:r>
        <w:rPr>
          <w:rFonts w:eastAsia="仿宋_GB2312"/>
          <w:sz w:val="32"/>
        </w:rPr>
        <w:t>全年快递服务企业业务量累计完成93亿件，同比增长0.1%，全省排名第一，全国城市排名第二，位列广州市之后；业务收入累计完成255.8亿元，同比增长2.6%。其中同城业务量累计完成4.5亿件，同比上升23%；异地业务量累计完成88.1亿件，同比下降0.7%；国际及港澳台业务量累计完成3345.4万件，同比下降31.8%。国际邮件互换局业务量全年累计处理491.8万件，同比下降69.5%，其中累计出口469万件，同比下降69.7%；累计进口22.9万件，同比下降64.6%。</w:t>
      </w:r>
    </w:p>
    <w:p>
      <w:pPr>
        <w:spacing w:line="560" w:lineRule="exact"/>
        <w:ind w:firstLine="640" w:firstLineChars="200"/>
        <w:rPr>
          <w:rFonts w:eastAsia="仿宋_GB2312"/>
          <w:sz w:val="32"/>
        </w:rPr>
      </w:pPr>
      <w:r>
        <w:rPr>
          <w:rFonts w:eastAsia="仿宋_GB2312"/>
          <w:sz w:val="32"/>
        </w:rPr>
        <w:t>全市星级饭店数10个，星级饭店客房总数2391间。全年度义乌共创建4A级景区镇（街道）2个（义亭镇、城西街道）,AAA级景区村庄2个（塘边村、羊印村），AA级景区村庄9个，A级村庄16个。</w:t>
      </w:r>
    </w:p>
    <w:p>
      <w:pPr>
        <w:spacing w:line="560" w:lineRule="exact"/>
        <w:ind w:firstLine="723" w:firstLineChars="200"/>
        <w:jc w:val="left"/>
        <w:outlineLvl w:val="0"/>
        <w:rPr>
          <w:rFonts w:eastAsia="仿宋_GB2312"/>
          <w:b/>
          <w:sz w:val="36"/>
        </w:rPr>
      </w:pPr>
      <w:r>
        <w:rPr>
          <w:rFonts w:eastAsia="仿宋_GB2312"/>
          <w:b/>
          <w:sz w:val="36"/>
        </w:rPr>
        <w:t>八、财政和金融</w:t>
      </w:r>
    </w:p>
    <w:p>
      <w:pPr>
        <w:spacing w:line="560" w:lineRule="exact"/>
        <w:ind w:firstLine="640" w:firstLineChars="200"/>
        <w:rPr>
          <w:rFonts w:eastAsia="仿宋_GB2312"/>
          <w:bCs/>
          <w:sz w:val="32"/>
        </w:rPr>
      </w:pPr>
      <w:r>
        <w:rPr>
          <w:rFonts w:eastAsia="仿宋_GB2312"/>
          <w:bCs/>
          <w:sz w:val="32"/>
        </w:rPr>
        <w:t>全年完成财政总收入211.6亿元，增长9.2%，完成一般公共预算收入132.9亿元，剔除留抵退税因素后增长13.9%，按自然口径计算增长4.2%。一般公共预算收入中，</w:t>
      </w:r>
      <w:r>
        <w:rPr>
          <w:rFonts w:eastAsia="仿宋_GB2312"/>
          <w:color w:val="353637"/>
          <w:kern w:val="0"/>
          <w:sz w:val="32"/>
          <w:szCs w:val="32"/>
        </w:rPr>
        <w:t>税收收入127.0亿元，占一般公共预算收入的95.5%，剔除留抵退税因素后增长12.3%，按自然口径计算增长2.2%；</w:t>
      </w:r>
      <w:r>
        <w:rPr>
          <w:rFonts w:eastAsia="仿宋_GB2312"/>
          <w:bCs/>
          <w:sz w:val="32"/>
        </w:rPr>
        <w:t>其中</w:t>
      </w:r>
      <w:r>
        <w:rPr>
          <w:rFonts w:eastAsia="仿宋_GB2312"/>
          <w:color w:val="353637"/>
          <w:kern w:val="0"/>
          <w:sz w:val="32"/>
          <w:szCs w:val="32"/>
        </w:rPr>
        <w:t>增值税收入32.9亿元，增长3.7%;企业所得税收入25.65亿元，增长38.4%。完成一般公共预算支出159.7亿元，增长3.5%，其中一般公共服务支出17.5亿元，增长3.7%，社会保障和就业支出15.8亿元，增长10.7%，卫生健康支出18.9亿元，增长82.3%，教育支出36.5亿元，增长6.4%。</w:t>
      </w:r>
    </w:p>
    <w:p>
      <w:pPr>
        <w:ind w:firstLine="200"/>
        <w:jc w:val="center"/>
        <w:rPr>
          <w:rFonts w:ascii="仿宋_GB2312" w:hAnsi="仿宋" w:eastAsia="仿宋_GB2312" w:cs="宋体"/>
          <w:color w:val="2B2B2B"/>
          <w:kern w:val="0"/>
          <w:sz w:val="23"/>
          <w:szCs w:val="23"/>
        </w:rPr>
      </w:pPr>
      <w:r>
        <w:rPr>
          <w:rFonts w:hint="eastAsia" w:ascii="仿宋_GB2312" w:hAnsi="仿宋" w:eastAsia="仿宋_GB2312" w:cs="宋体"/>
          <w:color w:val="2B2B2B"/>
          <w:kern w:val="0"/>
          <w:sz w:val="23"/>
          <w:szCs w:val="23"/>
        </w:rPr>
        <w:t>图12 2018-2022年财政总收入与增长速度</w:t>
      </w:r>
    </w:p>
    <w:p>
      <w:pPr>
        <w:ind w:firstLine="200"/>
        <w:jc w:val="center"/>
        <w:rPr>
          <w:rFonts w:ascii="仿宋_GB2312" w:hAnsi="仿宋" w:eastAsia="仿宋_GB2312" w:cs="宋体"/>
          <w:color w:val="2B2B2B"/>
          <w:kern w:val="0"/>
          <w:sz w:val="23"/>
          <w:szCs w:val="23"/>
        </w:rPr>
      </w:pPr>
      <w:r>
        <w:drawing>
          <wp:inline distT="0" distB="0" distL="0" distR="0">
            <wp:extent cx="4568825" cy="2740025"/>
            <wp:effectExtent l="6093" t="6090" r="6093" b="6090"/>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center"/>
        <w:rPr>
          <w:rFonts w:ascii="仿宋_GB2312" w:hAnsi="仿宋" w:eastAsia="仿宋_GB2312" w:cs="宋体"/>
          <w:color w:val="2B2B2B"/>
          <w:kern w:val="0"/>
          <w:sz w:val="23"/>
          <w:szCs w:val="23"/>
        </w:rPr>
      </w:pPr>
    </w:p>
    <w:p>
      <w:pPr>
        <w:jc w:val="center"/>
        <w:rPr>
          <w:rFonts w:ascii="仿宋_GB2312" w:hAnsi="仿宋" w:eastAsia="仿宋_GB2312" w:cs="宋体"/>
          <w:color w:val="2B2B2B"/>
          <w:kern w:val="0"/>
          <w:sz w:val="23"/>
          <w:szCs w:val="23"/>
        </w:rPr>
      </w:pPr>
      <w:r>
        <w:rPr>
          <w:rFonts w:hint="eastAsia" w:ascii="仿宋_GB2312" w:hAnsi="仿宋" w:eastAsia="仿宋_GB2312" w:cs="宋体"/>
          <w:color w:val="2B2B2B"/>
          <w:kern w:val="0"/>
          <w:sz w:val="23"/>
          <w:szCs w:val="23"/>
        </w:rPr>
        <w:t>图13 2018-2022年一般公共预算收入与增长速度</w:t>
      </w:r>
    </w:p>
    <w:p>
      <w:pPr>
        <w:ind w:firstLine="200"/>
        <w:jc w:val="center"/>
      </w:pPr>
      <w:r>
        <w:drawing>
          <wp:inline distT="0" distB="0" distL="0" distR="0">
            <wp:extent cx="4672330" cy="2756535"/>
            <wp:effectExtent l="5729" t="6106" r="7877" b="8777"/>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560" w:lineRule="exact"/>
        <w:ind w:firstLine="640" w:firstLineChars="200"/>
        <w:rPr>
          <w:rFonts w:eastAsia="仿宋_GB2312"/>
          <w:sz w:val="32"/>
        </w:rPr>
      </w:pPr>
      <w:r>
        <w:rPr>
          <w:rFonts w:eastAsia="仿宋_GB2312"/>
          <w:sz w:val="32"/>
        </w:rPr>
        <w:t>全市共有银行业机构金融机构31家，小额贷款公司9家。年末全市金融机构本外币存款余额4575.3亿元，比年初增加500.03亿元，同比增长12.3%；其中，住户存款2510.8亿元，比年初增加408.8亿元，增长19.5%；非金融企业存款1006.7亿元，比年初增加38.7亿元，增长3.9%。全市金融机构本外币各项贷款余额4496.9亿元，比年初增加636.1亿，同比增长16.5%；住户贷款2004.2亿元，比年初增加267.5亿元，增长15.4%。</w:t>
      </w:r>
    </w:p>
    <w:p>
      <w:pPr>
        <w:spacing w:line="560" w:lineRule="exact"/>
        <w:ind w:firstLine="640" w:firstLineChars="200"/>
        <w:rPr>
          <w:rFonts w:eastAsia="仿宋_GB2312"/>
          <w:sz w:val="32"/>
        </w:rPr>
      </w:pPr>
      <w:r>
        <w:rPr>
          <w:rFonts w:eastAsia="仿宋_GB2312"/>
          <w:sz w:val="32"/>
        </w:rPr>
        <w:t>全市共有证券营业部36家。辖内证券公司全年两市总交易量为1251.88亿元，下降25.99%。全市共有期货公司8家，全年总交易金额611.92亿元，下降7.43%。</w:t>
      </w:r>
    </w:p>
    <w:p>
      <w:pPr>
        <w:widowControl/>
        <w:ind w:firstLine="200"/>
        <w:jc w:val="center"/>
        <w:rPr>
          <w:rFonts w:ascii="仿宋_GB2312" w:hAnsi="仿宋" w:eastAsia="仿宋_GB2312" w:cs="宋体"/>
          <w:color w:val="2B2B2B"/>
          <w:kern w:val="0"/>
          <w:sz w:val="23"/>
          <w:szCs w:val="23"/>
        </w:rPr>
      </w:pPr>
      <w:r>
        <w:rPr>
          <w:rFonts w:hint="eastAsia" w:ascii="仿宋_GB2312" w:hAnsi="仿宋" w:eastAsia="仿宋_GB2312" w:cs="宋体"/>
          <w:color w:val="2B2B2B"/>
          <w:kern w:val="0"/>
          <w:sz w:val="23"/>
          <w:szCs w:val="23"/>
        </w:rPr>
        <w:t>图14 2018—2022年金融机构存款余额与增长速度</w:t>
      </w:r>
    </w:p>
    <w:p>
      <w:pPr>
        <w:widowControl/>
        <w:ind w:firstLine="200"/>
        <w:jc w:val="center"/>
        <w:rPr>
          <w:rFonts w:ascii="仿宋_GB2312" w:hAnsi="仿宋" w:eastAsia="仿宋_GB2312" w:cs="宋体"/>
          <w:color w:val="2B2B2B"/>
          <w:kern w:val="0"/>
          <w:sz w:val="23"/>
          <w:szCs w:val="23"/>
        </w:rPr>
      </w:pPr>
      <w:r>
        <w:drawing>
          <wp:inline distT="0" distB="0" distL="0" distR="0">
            <wp:extent cx="4568825" cy="2740025"/>
            <wp:effectExtent l="6093" t="6090" r="6093" b="6090"/>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cs="宋体"/>
          <w:color w:val="2B2B2B"/>
          <w:kern w:val="0"/>
          <w:sz w:val="23"/>
          <w:szCs w:val="23"/>
        </w:rPr>
      </w:pPr>
      <w:r>
        <w:rPr>
          <w:rFonts w:hint="eastAsia" w:ascii="仿宋_GB2312" w:hAnsi="仿宋" w:eastAsia="仿宋_GB2312" w:cs="宋体"/>
          <w:color w:val="2B2B2B"/>
          <w:kern w:val="0"/>
          <w:sz w:val="23"/>
          <w:szCs w:val="23"/>
        </w:rPr>
        <w:t>图15 2018-2022年金融机构贷款余额与增长速度</w:t>
      </w:r>
    </w:p>
    <w:p>
      <w:pPr>
        <w:ind w:firstLine="420" w:firstLineChars="200"/>
        <w:jc w:val="center"/>
        <w:rPr>
          <w:rFonts w:ascii="仿宋_GB2312" w:hAnsi="仿宋" w:eastAsia="仿宋_GB2312" w:cs="宋体"/>
          <w:color w:val="2B2B2B"/>
          <w:kern w:val="0"/>
          <w:sz w:val="23"/>
          <w:szCs w:val="23"/>
        </w:rPr>
      </w:pPr>
      <w:r>
        <w:drawing>
          <wp:inline distT="0" distB="0" distL="0" distR="0">
            <wp:extent cx="4568825" cy="2740025"/>
            <wp:effectExtent l="6093" t="6090" r="6093" b="6090"/>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line="560" w:lineRule="exact"/>
        <w:ind w:firstLine="640" w:firstLineChars="200"/>
        <w:rPr>
          <w:rFonts w:eastAsia="仿宋_GB2312"/>
          <w:sz w:val="32"/>
          <w:szCs w:val="32"/>
        </w:rPr>
      </w:pPr>
      <w:r>
        <w:rPr>
          <w:rFonts w:eastAsia="仿宋_GB2312"/>
          <w:sz w:val="32"/>
          <w:szCs w:val="32"/>
        </w:rPr>
        <w:t>全市共有保险公司分支机构40家，其中财产保险公司23家，人寿保险公司17家。全年实现保费收入73.99亿元，同比增长3.6%。其中财产险收入33.04亿元，同比增长11.7%；寿险收入40.94亿元，同比下降2.4%。全年累计赔款支出23.98亿元，同比增长3.2%，其中财产险17.71亿元，同比增长1.0%，寿险6.27亿元，同比增长9.7%。</w:t>
      </w:r>
    </w:p>
    <w:p>
      <w:pPr>
        <w:spacing w:line="560" w:lineRule="exact"/>
        <w:ind w:firstLine="723" w:firstLineChars="200"/>
        <w:outlineLvl w:val="0"/>
        <w:rPr>
          <w:rFonts w:eastAsia="仿宋_GB2312"/>
          <w:b/>
          <w:sz w:val="36"/>
        </w:rPr>
      </w:pPr>
      <w:r>
        <w:rPr>
          <w:rFonts w:eastAsia="仿宋_GB2312"/>
          <w:b/>
          <w:sz w:val="36"/>
        </w:rPr>
        <w:t>九、教育和科学技术</w:t>
      </w:r>
    </w:p>
    <w:p>
      <w:pPr>
        <w:spacing w:line="560" w:lineRule="exact"/>
        <w:ind w:firstLine="640" w:firstLineChars="200"/>
        <w:rPr>
          <w:rFonts w:eastAsia="仿宋_GB2312"/>
          <w:sz w:val="32"/>
          <w:szCs w:val="32"/>
        </w:rPr>
      </w:pPr>
      <w:r>
        <w:rPr>
          <w:rFonts w:eastAsia="仿宋_GB2312"/>
          <w:sz w:val="32"/>
          <w:szCs w:val="32"/>
        </w:rPr>
        <w:t>全市现有大学1所，职业院校1所，技师学院1所；公办中小学110所（含职高），民办中小学20所，幼儿园338所，特殊教育学校2所，在校（园）生27.15万人，教职工25256人（其中专任教师18604人），在读外籍学生263名。全年统筹谋划教育项目134项，完成教育基建有效投资21.7亿元，建成望道小学、大塘下幼儿园等40所中小学、幼儿园，新增学位2.9万余个。金华市教育“三百工程”我市占71所，已开工62所，其中完工28所，总任务数、开工数、完工数金华第一。金华市报省级民生实事建成投用10所，我市占6所，新增学位完成率247%，承办数量和完成率金华第一。建成30所学校“上下学接送区”。城区学校骨干教师下乡交流人数占符合条件总人数的21%，远超15%的标准要求，有力推动城乡教育均衡。</w:t>
      </w: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cs="宋体"/>
          <w:color w:val="2B2B2B"/>
          <w:kern w:val="0"/>
          <w:sz w:val="23"/>
          <w:szCs w:val="23"/>
        </w:rPr>
      </w:pPr>
    </w:p>
    <w:p>
      <w:pPr>
        <w:ind w:firstLine="460" w:firstLineChars="200"/>
        <w:jc w:val="center"/>
        <w:rPr>
          <w:rFonts w:ascii="仿宋_GB2312" w:hAnsi="仿宋" w:eastAsia="仿宋_GB2312"/>
          <w:sz w:val="32"/>
          <w:szCs w:val="32"/>
        </w:rPr>
      </w:pPr>
      <w:r>
        <w:rPr>
          <w:rFonts w:hint="eastAsia" w:ascii="仿宋_GB2312" w:hAnsi="仿宋" w:eastAsia="仿宋_GB2312" w:cs="宋体"/>
          <w:color w:val="2B2B2B"/>
          <w:kern w:val="0"/>
          <w:sz w:val="23"/>
          <w:szCs w:val="23"/>
        </w:rPr>
        <w:t>图16 2018-2022年全市中小学在校学生数</w:t>
      </w:r>
    </w:p>
    <w:p>
      <w:pPr>
        <w:ind w:firstLine="420" w:firstLineChars="200"/>
        <w:rPr>
          <w:rFonts w:ascii="仿宋_GB2312" w:hAnsi="仿宋" w:eastAsia="仿宋_GB2312"/>
          <w:sz w:val="32"/>
          <w:szCs w:val="32"/>
        </w:rPr>
      </w:pPr>
      <w:r>
        <w:drawing>
          <wp:inline distT="0" distB="0" distL="0" distR="0">
            <wp:extent cx="4568825" cy="2892425"/>
            <wp:effectExtent l="6093" t="6091" r="6093" b="6091"/>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line="560" w:lineRule="exact"/>
        <w:ind w:firstLine="640" w:firstLineChars="200"/>
        <w:rPr>
          <w:rFonts w:eastAsia="仿宋_GB2312"/>
          <w:sz w:val="32"/>
          <w:szCs w:val="32"/>
        </w:rPr>
      </w:pPr>
      <w:r>
        <w:rPr>
          <w:rFonts w:eastAsia="仿宋_GB2312"/>
          <w:sz w:val="32"/>
          <w:szCs w:val="32"/>
        </w:rPr>
        <w:t>全年新认定省科技小巨人企业1家；新培育国家高新技术企业81家，新认定省科技型中小企业244家；新培育金华市备案众创空间2家；新认定省重点企业研究院1家，省高新技术企业研发中心9家。</w:t>
      </w:r>
    </w:p>
    <w:p>
      <w:pPr>
        <w:spacing w:line="560" w:lineRule="exact"/>
        <w:ind w:firstLine="640" w:firstLineChars="200"/>
        <w:rPr>
          <w:rFonts w:eastAsia="仿宋_GB2312"/>
          <w:sz w:val="32"/>
        </w:rPr>
      </w:pPr>
      <w:r>
        <w:rPr>
          <w:rFonts w:eastAsia="仿宋_GB2312"/>
          <w:sz w:val="32"/>
        </w:rPr>
        <w:t>全年专利授权量 10327件，略降0.07 %，其中发明专利授权量583 件。</w:t>
      </w:r>
    </w:p>
    <w:p>
      <w:pPr>
        <w:spacing w:line="560" w:lineRule="exact"/>
        <w:ind w:firstLine="723" w:firstLineChars="200"/>
        <w:outlineLvl w:val="0"/>
        <w:rPr>
          <w:rFonts w:eastAsia="仿宋_GB2312"/>
          <w:b/>
          <w:sz w:val="36"/>
        </w:rPr>
      </w:pPr>
      <w:r>
        <w:rPr>
          <w:rFonts w:eastAsia="仿宋_GB2312"/>
          <w:b/>
          <w:sz w:val="36"/>
        </w:rPr>
        <w:t>十、文化、体育和卫生</w:t>
      </w:r>
    </w:p>
    <w:p>
      <w:pPr>
        <w:spacing w:line="560" w:lineRule="exact"/>
        <w:ind w:firstLine="640" w:firstLineChars="200"/>
        <w:rPr>
          <w:rFonts w:eastAsia="仿宋_GB2312"/>
          <w:sz w:val="32"/>
          <w:szCs w:val="32"/>
        </w:rPr>
      </w:pPr>
      <w:r>
        <w:rPr>
          <w:rFonts w:eastAsia="仿宋_GB2312"/>
          <w:sz w:val="32"/>
          <w:szCs w:val="32"/>
        </w:rPr>
        <w:t>扎实推进省市民生实事项目，省民生实事“浙文惠享”130个“15分钟品质文化生活圈”、2个城市书房、1个文化驿站、9个乡村博物馆建设已完成并通过省厅验收，完成率均为100%；金华市民生实事14个镇街图书分馆及255个“e家书房”挂牌，完成率100%。大力开展文化惠民活动，“花开四季”课外公益学堂完成265个班级、近1900场课程，服务3.7万余人次；“蒲公英群文课堂”完成593个班级，服务7.34万人次；图书外借105.63万册次，服务读者244.47万人次。推进传统戏曲作品创作，婺剧现代戏《义乌高华》获第十五届浙江省戏剧节最高奖——“兰花奖 新剧目大奖”，《婺剧折子戏专场》主演汤义波获第六届“浙江戏剧奖</w:t>
      </w:r>
      <w:r>
        <w:rPr>
          <w:sz w:val="32"/>
          <w:szCs w:val="32"/>
        </w:rPr>
        <w:t>•</w:t>
      </w:r>
      <w:r>
        <w:rPr>
          <w:rFonts w:hAnsi="仿宋_GB2312" w:eastAsia="仿宋_GB2312"/>
          <w:sz w:val="32"/>
          <w:szCs w:val="32"/>
        </w:rPr>
        <w:t>金桂表演奖</w:t>
      </w:r>
      <w:r>
        <w:rPr>
          <w:rFonts w:eastAsia="仿宋_GB2312"/>
          <w:sz w:val="32"/>
          <w:szCs w:val="32"/>
        </w:rPr>
        <w:t>”</w:t>
      </w:r>
      <w:r>
        <w:rPr>
          <w:rFonts w:hAnsi="仿宋_GB2312" w:eastAsia="仿宋_GB2312"/>
          <w:sz w:val="32"/>
          <w:szCs w:val="32"/>
        </w:rPr>
        <w:t>榜首。推进非遗保护传承发展，敲糖帮红糖工坊、丹溪酒业非遗工坊、道人峰茶非遗工坊入选省级非遗工坊（创建）名单；颜乌的传说、义乌东河肉饼制作技艺入选第六批浙江省级非遗代表性项目名录；陈培亮、朱智彪列入省推荐申报第六批国家级非物质文化遗产代表性传承人公示名单；成功创建金华市非遗传承教学基地</w:t>
      </w:r>
      <w:r>
        <w:rPr>
          <w:rFonts w:eastAsia="仿宋_GB2312"/>
          <w:sz w:val="32"/>
          <w:szCs w:val="32"/>
        </w:rPr>
        <w:t>1家、金华市示范性非遗传承教学基地1家，4个非遗保护传承案例入选金华市级优秀案例。加快推动上山文化申遗工作，有序推进考古发掘，桥头遗址入选了“新时代浙江考古十大发现”。完成《上山文化遗址群申报中国世界文化遗产预备名单文本》桥头遗址部分初稿编制。积极推进文旅消费试点创建，开展南航主题航班推介活动50场，学习强国、中国旅游报、浙江日报等数十家媒体关注，传播量超200万人次。</w:t>
      </w:r>
    </w:p>
    <w:p>
      <w:pPr>
        <w:spacing w:line="560" w:lineRule="exact"/>
        <w:ind w:firstLine="640" w:firstLineChars="200"/>
        <w:rPr>
          <w:rFonts w:eastAsia="仿宋_GB2312"/>
          <w:sz w:val="32"/>
          <w:szCs w:val="32"/>
        </w:rPr>
      </w:pPr>
      <w:r>
        <w:rPr>
          <w:rFonts w:eastAsia="仿宋_GB2312"/>
          <w:sz w:val="32"/>
          <w:szCs w:val="32"/>
        </w:rPr>
        <w:t>成功举办浙江省第十七届运动会足球、羽毛球、排球、武术套路4个大项7个小项比赛和省运会火炬接力传递活动；圆满完成浙江省青少年排球（甲乙丙）锦标赛、浙江省青少年足球（男乙）锦标赛、浙江省青少年羽毛球锦标赛、浙江省第六届“长青杯”中老年篮球赛等赛事。承办2022年浙江省群众体育</w:t>
      </w:r>
      <w:r>
        <w:rPr>
          <w:rFonts w:hint="eastAsia" w:eastAsia="仿宋_GB2312"/>
          <w:sz w:val="32"/>
          <w:szCs w:val="32"/>
          <w:lang w:eastAsia="zh-CN"/>
        </w:rPr>
        <w:t>工作</w:t>
      </w:r>
      <w:r>
        <w:rPr>
          <w:rFonts w:eastAsia="仿宋_GB2312"/>
          <w:sz w:val="32"/>
          <w:szCs w:val="32"/>
        </w:rPr>
        <w:t>会议，进一步展示义乌创建体育现代化成果，宣传提升义乌知名度和美誉度。完善体育公共服务体系，加强基础体育设施建设，全年新建健身路径45条，新建灯光水泥篮球场3个，新建灯光塑胶篮球场11个，3个笼式足球场、1个村级健身广场、1个多功能运动场，下拨小康健身工程补助经费352万元。年内，我市运动员参加浙江省第十七届运动会获得枚42枚现场金牌，12枚银牌，14枚铜牌，创义乌参加省运会历史最好成绩；参加金华市级及以上比赛获得金牌102枚、银牌118枚、铜牌78枚，发放奖励经费46.57万元。体育产业发展突飞猛进，全年体育彩票销售额达到9.02亿元人民币，同期增长21%，为体育事业发展提供坚实保障。2022年是义乌体育事业硕果累累的一年，也是巩固创建体育现代城市的开局之年，3月获得浙江省人民政府命名浙江省体育现代化县（市、区），11月获评浙江省体育局2018—2021年竞技体育突出贡献奖。</w:t>
      </w:r>
    </w:p>
    <w:p>
      <w:pPr>
        <w:spacing w:line="560" w:lineRule="exact"/>
        <w:ind w:firstLine="640" w:firstLineChars="200"/>
        <w:rPr>
          <w:rFonts w:eastAsia="仿宋_GB2312"/>
          <w:sz w:val="32"/>
          <w:szCs w:val="32"/>
        </w:rPr>
      </w:pPr>
      <w:r>
        <w:rPr>
          <w:rFonts w:eastAsia="仿宋_GB2312"/>
          <w:sz w:val="32"/>
          <w:szCs w:val="32"/>
        </w:rPr>
        <w:t>2022年，义乌市“长期护理保险筑牢失能群体兜底保障”上榜全省“共富”最佳实践案例名单。长期护理保险实施至今，以数字化改革为引领，实现全过程零次跑，通过构建全民共担共享的制度体系、专业化标准化的评估机制、规范化规模化的护理服务产业体系，有效保障失能人员基本生活权益，减轻失能家庭护理负担。截至2022年底，累计开展失能等级评估9571人次，线上巡查5680人次，线下巡查9706人次，完成基金追缴348笔共计61.34万元，基金支付共计2.36亿余元。</w:t>
      </w:r>
    </w:p>
    <w:p>
      <w:pPr>
        <w:spacing w:line="560" w:lineRule="exact"/>
        <w:ind w:firstLine="640" w:firstLineChars="200"/>
        <w:rPr>
          <w:rFonts w:eastAsia="仿宋_GB2312"/>
          <w:sz w:val="32"/>
          <w:szCs w:val="32"/>
        </w:rPr>
      </w:pPr>
      <w:r>
        <w:rPr>
          <w:rFonts w:eastAsia="仿宋_GB2312"/>
          <w:sz w:val="32"/>
          <w:szCs w:val="32"/>
        </w:rPr>
        <w:t>全市现有医院、卫生院数55个，其中三级以上医院4个；核定床位数8835张，其中三级以上医院床位数3320张；全市共有卫生技术人员13783人，执业医师和执业助理医师6483人，注册执业护士6215人。全年产妇数16913人，接产活产数17057人，住院分娩率100%。其中义乌市户籍产妇数6315人，活产数6414人，系管率98.36%，高危妊娠数4708人，高危管理率100%。共办理《出生医学证明》17709人次。抢救危重孕产妇39例。</w:t>
      </w:r>
    </w:p>
    <w:p>
      <w:pPr>
        <w:ind w:firstLine="460" w:firstLineChars="200"/>
        <w:jc w:val="center"/>
        <w:rPr>
          <w:rFonts w:ascii="仿宋_GB2312" w:hAnsi="仿宋" w:eastAsia="仿宋_GB2312"/>
          <w:sz w:val="32"/>
          <w:szCs w:val="32"/>
        </w:rPr>
      </w:pPr>
      <w:r>
        <w:rPr>
          <w:rFonts w:hint="eastAsia" w:ascii="仿宋_GB2312" w:hAnsi="仿宋" w:eastAsia="仿宋_GB2312" w:cs="宋体"/>
          <w:color w:val="2B2B2B"/>
          <w:kern w:val="0"/>
          <w:sz w:val="23"/>
          <w:szCs w:val="23"/>
        </w:rPr>
        <w:t>图17 2018-2022年医院、卫生院医生数及床位数</w:t>
      </w:r>
    </w:p>
    <w:p>
      <w:pPr>
        <w:ind w:firstLine="420" w:firstLineChars="200"/>
        <w:jc w:val="center"/>
        <w:rPr>
          <w:rFonts w:ascii="仿宋_GB2312" w:hAnsi="仿宋" w:eastAsia="仿宋_GB2312"/>
          <w:sz w:val="32"/>
          <w:szCs w:val="32"/>
        </w:rPr>
      </w:pPr>
      <w:r>
        <w:drawing>
          <wp:inline distT="0" distB="0" distL="0" distR="0">
            <wp:extent cx="4568825" cy="2892425"/>
            <wp:effectExtent l="6093" t="6091" r="6093" b="6091"/>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spacing w:line="560" w:lineRule="exact"/>
        <w:ind w:firstLine="723" w:firstLineChars="200"/>
        <w:jc w:val="left"/>
        <w:outlineLvl w:val="0"/>
        <w:rPr>
          <w:rFonts w:eastAsia="仿宋_GB2312"/>
          <w:b/>
          <w:sz w:val="36"/>
          <w:szCs w:val="36"/>
        </w:rPr>
      </w:pPr>
      <w:r>
        <w:rPr>
          <w:rFonts w:eastAsia="仿宋_GB2312"/>
          <w:b/>
          <w:sz w:val="36"/>
          <w:szCs w:val="36"/>
        </w:rPr>
        <w:t>十一、</w:t>
      </w:r>
      <w:r>
        <w:rPr>
          <w:rFonts w:eastAsia="仿宋_GB2312"/>
          <w:b/>
          <w:color w:val="000000"/>
          <w:sz w:val="36"/>
          <w:szCs w:val="36"/>
        </w:rPr>
        <w:t>城市建设和环境保护</w:t>
      </w:r>
    </w:p>
    <w:p>
      <w:pPr>
        <w:spacing w:line="560" w:lineRule="exact"/>
        <w:ind w:firstLine="640" w:firstLineChars="200"/>
        <w:rPr>
          <w:rFonts w:eastAsia="仿宋_GB2312"/>
          <w:sz w:val="32"/>
        </w:rPr>
      </w:pPr>
      <w:r>
        <w:rPr>
          <w:rFonts w:eastAsia="仿宋_GB2312"/>
          <w:sz w:val="32"/>
        </w:rPr>
        <w:t>年末建成区面积达到113.06平方公里。城市基础设施不断完善，实有建成区城市道路面积约3075.11万平方米。城市绿化进一步改善，建成区公园绿地面积约1195.22公顷。城市污水集中处理率和生活垃圾无害化处理率分别达到97.8%和100%。</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p>
    <w:p>
      <w:pPr>
        <w:spacing w:line="560" w:lineRule="exact"/>
        <w:jc w:val="center"/>
        <w:rPr>
          <w:rFonts w:ascii="仿宋_GB2312" w:hAnsi="仿宋" w:eastAsia="仿宋_GB2312"/>
          <w:sz w:val="32"/>
        </w:rPr>
      </w:pPr>
      <w:r>
        <w:rPr>
          <w:rFonts w:hint="eastAsia" w:ascii="仿宋_GB2312" w:hAnsi="仿宋" w:eastAsia="仿宋_GB2312" w:cs="宋体"/>
          <w:color w:val="2B2B2B"/>
          <w:kern w:val="0"/>
          <w:sz w:val="23"/>
          <w:szCs w:val="23"/>
        </w:rPr>
        <w:t>图18 2018-2022年建成区面积</w:t>
      </w:r>
    </w:p>
    <w:p>
      <w:pPr>
        <w:ind w:firstLine="420" w:firstLineChars="200"/>
        <w:jc w:val="center"/>
        <w:rPr>
          <w:rFonts w:ascii="仿宋_GB2312" w:hAnsi="仿宋" w:eastAsia="仿宋_GB2312"/>
          <w:sz w:val="32"/>
        </w:rPr>
      </w:pPr>
      <w:r>
        <w:drawing>
          <wp:inline distT="0" distB="0" distL="0" distR="0">
            <wp:extent cx="4568825" cy="2740025"/>
            <wp:effectExtent l="6093" t="6090" r="6093" b="6090"/>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spacing w:line="560" w:lineRule="exact"/>
        <w:ind w:firstLine="640" w:firstLineChars="200"/>
        <w:rPr>
          <w:rFonts w:eastAsia="仿宋_GB2312"/>
          <w:sz w:val="32"/>
        </w:rPr>
      </w:pPr>
      <w:r>
        <w:rPr>
          <w:rFonts w:eastAsia="仿宋_GB2312"/>
          <w:sz w:val="32"/>
        </w:rPr>
        <w:t>全年生态文明建设和生态环境保护工作成效显著，全市AQI优良率97.3%，PM</w:t>
      </w:r>
      <w:r>
        <w:rPr>
          <w:rFonts w:eastAsia="仿宋_GB2312"/>
          <w:sz w:val="48"/>
          <w:szCs w:val="48"/>
          <w:vertAlign w:val="subscript"/>
        </w:rPr>
        <w:t>2.5</w:t>
      </w:r>
      <w:r>
        <w:rPr>
          <w:rFonts w:eastAsia="仿宋_GB2312"/>
          <w:sz w:val="32"/>
        </w:rPr>
        <w:t>平均浓度24μg/m</w:t>
      </w:r>
      <w:r>
        <w:rPr>
          <w:rFonts w:eastAsia="仿宋_GB2312"/>
          <w:sz w:val="36"/>
          <w:szCs w:val="36"/>
          <w:vertAlign w:val="superscript"/>
        </w:rPr>
        <w:t>3</w:t>
      </w:r>
      <w:r>
        <w:rPr>
          <w:rFonts w:eastAsia="仿宋_GB2312"/>
          <w:sz w:val="32"/>
        </w:rPr>
        <w:t>，六项指标全面稳定达标；地表水县控及以上断面水质达标率100%，8个集中式饮用水水源地水质达标率100%。2022年公众生态环境满意度得分89.03分，取得历史最好成绩。获评“美丽浙江”建设工作优秀市，再夺“五水共治”大禹鼎银鼎，夺得全省首批“无废城市”建设“清源杯”。全力推进减污降碳试点建设，成功申报省级减污降碳协同试点1个、省级低（零）碳镇村试点10个。打好“清新空气”巩固提升战，全面淘汰35蒸吨/小时以下燃煤锅炉。建成金华地区唯一废</w:t>
      </w:r>
      <w:r>
        <w:rPr>
          <w:rFonts w:hint="eastAsia" w:eastAsia="仿宋_GB2312"/>
          <w:sz w:val="32"/>
          <w:lang w:eastAsia="zh-CN"/>
        </w:rPr>
        <w:t>活性炭</w:t>
      </w:r>
      <w:r>
        <w:rPr>
          <w:rFonts w:eastAsia="仿宋_GB2312"/>
          <w:sz w:val="32"/>
        </w:rPr>
        <w:t>回收利用“绿岛”项目。打好“碧水提质”攻坚战，推动污水厂扩容提质，武德净水厂、双江湖净水厂建成投用，污水处理能力达75万吨/日，居全省县级市首位。打好“净土清废”安全保卫战，完成用途变更地块的土壤污染状况调查，污染地块安全利用率100%。推动餐厨垃圾二期、污泥干化焚烧二期、危废综合利用等项目建成投用，固废（危废）处置能力提升32万吨/日。筑牢环境风险安全防线，实施“除险保安”百日攻坚等专项行动30余次，立案126起，处罚1014.7万元，移送公安6起。开展环境风险源隐患排查109家次，整改隐患94处。环境信访投诉较去年同比下降41.48%。省委生态环境保护专项督察交出高分报表。2022年省委生态环保专项督察交办信访件5件，同比下降66.7%。组织历轮环保督察信访件整改问题“回头看”4轮，交办信访231件全部完成整改，督察反馈问题整改获省委专项督察组组长高度肯定。</w:t>
      </w:r>
    </w:p>
    <w:p>
      <w:pPr>
        <w:spacing w:line="560" w:lineRule="exact"/>
        <w:ind w:firstLine="723" w:firstLineChars="200"/>
        <w:jc w:val="left"/>
        <w:outlineLvl w:val="0"/>
        <w:rPr>
          <w:rFonts w:eastAsia="仿宋_GB2312"/>
          <w:b/>
          <w:sz w:val="36"/>
        </w:rPr>
      </w:pPr>
      <w:r>
        <w:rPr>
          <w:rFonts w:eastAsia="仿宋_GB2312"/>
          <w:b/>
          <w:sz w:val="36"/>
        </w:rPr>
        <w:t>十二、人口、人民生活和社会保障</w:t>
      </w:r>
    </w:p>
    <w:p>
      <w:pPr>
        <w:spacing w:line="560" w:lineRule="exact"/>
        <w:ind w:firstLine="640" w:firstLineChars="200"/>
        <w:rPr>
          <w:rFonts w:ascii="仿宋_GB2312" w:hAnsi="仿宋" w:eastAsia="仿宋_GB2312" w:cs="宋体"/>
          <w:color w:val="2B2B2B"/>
          <w:kern w:val="0"/>
          <w:sz w:val="23"/>
          <w:szCs w:val="23"/>
        </w:rPr>
      </w:pPr>
      <w:r>
        <w:rPr>
          <w:rFonts w:eastAsia="仿宋_GB2312"/>
          <w:sz w:val="32"/>
        </w:rPr>
        <w:t>年末全市户籍人口890820人，比上年增加19164人；户籍人口中乡村人口335097人，城镇人口555723人；户籍人口中男性人口441323人，女性人口449497人。全年户籍出生人口7959人，人口出生率9.03‰；死亡人口4789人，人口死亡率5.43‰；人口自然增长率3.6‰。根据2022年5‰人口变动抽样调查推算，年末全市常住人口188.8万人，比上年末增加0.3万人，城镇化达到80.7%。</w:t>
      </w:r>
    </w:p>
    <w:p>
      <w:pPr>
        <w:spacing w:line="560" w:lineRule="exact"/>
        <w:jc w:val="center"/>
        <w:rPr>
          <w:rFonts w:ascii="仿宋_GB2312" w:hAnsi="仿宋" w:eastAsia="仿宋_GB2312" w:cs="宋体"/>
          <w:color w:val="2B2B2B"/>
          <w:kern w:val="0"/>
          <w:sz w:val="23"/>
          <w:szCs w:val="23"/>
        </w:rPr>
      </w:pPr>
    </w:p>
    <w:p>
      <w:pPr>
        <w:spacing w:line="560" w:lineRule="exact"/>
        <w:jc w:val="center"/>
        <w:rPr>
          <w:rFonts w:ascii="仿宋_GB2312" w:hAnsi="仿宋" w:eastAsia="仿宋_GB2312" w:cs="宋体"/>
          <w:color w:val="2B2B2B"/>
          <w:kern w:val="0"/>
          <w:sz w:val="23"/>
          <w:szCs w:val="23"/>
        </w:rPr>
      </w:pPr>
    </w:p>
    <w:p>
      <w:pPr>
        <w:spacing w:line="560" w:lineRule="exact"/>
        <w:jc w:val="center"/>
        <w:rPr>
          <w:rFonts w:ascii="仿宋_GB2312" w:hAnsi="仿宋" w:eastAsia="仿宋_GB2312" w:cs="宋体"/>
          <w:color w:val="2B2B2B"/>
          <w:kern w:val="0"/>
          <w:sz w:val="23"/>
          <w:szCs w:val="23"/>
        </w:rPr>
      </w:pPr>
    </w:p>
    <w:p>
      <w:pPr>
        <w:spacing w:line="560" w:lineRule="exact"/>
        <w:jc w:val="center"/>
        <w:rPr>
          <w:rFonts w:ascii="仿宋_GB2312" w:hAnsi="仿宋" w:eastAsia="仿宋_GB2312" w:cs="宋体"/>
          <w:color w:val="2B2B2B"/>
          <w:kern w:val="0"/>
          <w:sz w:val="23"/>
          <w:szCs w:val="23"/>
        </w:rPr>
      </w:pPr>
    </w:p>
    <w:p>
      <w:pPr>
        <w:spacing w:line="560" w:lineRule="exact"/>
        <w:jc w:val="center"/>
        <w:rPr>
          <w:rFonts w:ascii="仿宋_GB2312" w:hAnsi="仿宋" w:eastAsia="仿宋_GB2312" w:cs="宋体"/>
          <w:color w:val="2B2B2B"/>
          <w:kern w:val="0"/>
          <w:sz w:val="23"/>
          <w:szCs w:val="23"/>
        </w:rPr>
      </w:pPr>
    </w:p>
    <w:p>
      <w:pPr>
        <w:spacing w:line="560" w:lineRule="exact"/>
        <w:jc w:val="center"/>
        <w:rPr>
          <w:rFonts w:ascii="仿宋_GB2312" w:hAnsi="仿宋" w:eastAsia="仿宋_GB2312" w:cs="宋体"/>
          <w:color w:val="2B2B2B"/>
          <w:kern w:val="0"/>
          <w:sz w:val="23"/>
          <w:szCs w:val="23"/>
        </w:rPr>
      </w:pPr>
    </w:p>
    <w:p>
      <w:pPr>
        <w:spacing w:line="560" w:lineRule="exact"/>
        <w:jc w:val="center"/>
        <w:rPr>
          <w:rFonts w:ascii="仿宋_GB2312" w:hAnsi="仿宋" w:eastAsia="仿宋_GB2312" w:cs="宋体"/>
          <w:color w:val="2B2B2B"/>
          <w:kern w:val="0"/>
          <w:sz w:val="23"/>
          <w:szCs w:val="23"/>
        </w:rPr>
      </w:pPr>
    </w:p>
    <w:p>
      <w:pPr>
        <w:spacing w:line="560" w:lineRule="exact"/>
        <w:jc w:val="center"/>
        <w:rPr>
          <w:rFonts w:eastAsia="仿宋_GB2312"/>
          <w:sz w:val="32"/>
        </w:rPr>
      </w:pPr>
      <w:r>
        <w:rPr>
          <w:rFonts w:hint="eastAsia" w:ascii="仿宋_GB2312" w:hAnsi="仿宋" w:eastAsia="仿宋_GB2312" w:cs="宋体"/>
          <w:color w:val="2B2B2B"/>
          <w:kern w:val="0"/>
          <w:sz w:val="23"/>
          <w:szCs w:val="23"/>
        </w:rPr>
        <w:t>图19 2018-2022年户籍人口与增长速度</w:t>
      </w:r>
    </w:p>
    <w:p>
      <w:pPr>
        <w:widowControl/>
        <w:ind w:firstLine="420" w:firstLineChars="200"/>
        <w:jc w:val="center"/>
      </w:pPr>
      <w:r>
        <w:drawing>
          <wp:inline distT="0" distB="0" distL="0" distR="0">
            <wp:extent cx="4681855" cy="2740025"/>
            <wp:effectExtent l="6090" t="6090" r="7613" b="6090"/>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widowControl/>
        <w:spacing w:line="560" w:lineRule="exact"/>
        <w:ind w:firstLine="640" w:firstLineChars="200"/>
        <w:rPr>
          <w:rFonts w:eastAsia="仿宋_GB2312"/>
          <w:color w:val="2B2B2B"/>
          <w:kern w:val="0"/>
          <w:sz w:val="23"/>
          <w:szCs w:val="23"/>
        </w:rPr>
      </w:pPr>
      <w:r>
        <w:rPr>
          <w:rFonts w:eastAsia="仿宋_GB2312"/>
          <w:kern w:val="0"/>
          <w:sz w:val="32"/>
          <w:szCs w:val="32"/>
        </w:rPr>
        <w:t>居民收入实现持续平稳增长。根据城乡一体化住户调查，全体居民人均可支配收入为78215元，增长1.0%，其中城镇常住居民人均可支配收入为86975元，增长0.4%，农村常住居民人均可支配收入为47042元，增长2.0%。城乡收入比为1.85：1，继续稳步缩小。全体居民人均生活消费支出为45558元，增长2.6%。城镇常住居民人均生活消费支出为50167元，增长1.8%。农村常住居民人均消费支出为29158元，增长5.2%。</w:t>
      </w:r>
    </w:p>
    <w:p>
      <w:pPr>
        <w:spacing w:line="560" w:lineRule="exact"/>
        <w:ind w:firstLine="640" w:firstLineChars="200"/>
        <w:rPr>
          <w:rFonts w:eastAsia="仿宋_GB2312"/>
          <w:kern w:val="0"/>
          <w:sz w:val="32"/>
          <w:szCs w:val="32"/>
        </w:rPr>
      </w:pPr>
      <w:r>
        <w:rPr>
          <w:rFonts w:eastAsia="仿宋_GB2312"/>
          <w:kern w:val="0"/>
          <w:sz w:val="32"/>
          <w:szCs w:val="32"/>
        </w:rPr>
        <w:t>年末每百户城镇居民家庭汽车拥有量61.5辆。每百户农村居民家庭汽车拥有量47.3辆。</w:t>
      </w:r>
    </w:p>
    <w:p>
      <w:pPr>
        <w:jc w:val="center"/>
        <w:rPr>
          <w:rFonts w:ascii="仿宋_GB2312" w:hAnsi="仿宋" w:eastAsia="仿宋_GB2312" w:cs="宋体"/>
          <w:kern w:val="0"/>
          <w:sz w:val="23"/>
          <w:szCs w:val="23"/>
        </w:rPr>
      </w:pPr>
      <w:r>
        <w:rPr>
          <w:rFonts w:ascii="仿宋_GB2312" w:hAnsi="仿宋" w:eastAsia="仿宋_GB2312" w:cs="宋体"/>
          <w:kern w:val="0"/>
          <w:sz w:val="23"/>
          <w:szCs w:val="23"/>
        </w:rPr>
        <w:br w:type="page"/>
      </w:r>
      <w:r>
        <w:rPr>
          <w:rFonts w:hint="eastAsia" w:ascii="仿宋_GB2312" w:hAnsi="仿宋" w:eastAsia="仿宋_GB2312" w:cs="宋体"/>
          <w:kern w:val="0"/>
          <w:sz w:val="23"/>
          <w:szCs w:val="23"/>
        </w:rPr>
        <w:t>图20  2018-2022年城镇常住居民人均可支配收入与增长速度</w:t>
      </w:r>
    </w:p>
    <w:p>
      <w:pPr>
        <w:widowControl/>
        <w:ind w:firstLine="200"/>
        <w:jc w:val="center"/>
        <w:rPr>
          <w:rFonts w:ascii="仿宋_GB2312" w:hAnsi="仿宋" w:eastAsia="仿宋_GB2312" w:cs="宋体"/>
          <w:kern w:val="0"/>
          <w:sz w:val="23"/>
          <w:szCs w:val="23"/>
        </w:rPr>
      </w:pPr>
      <w:r>
        <w:drawing>
          <wp:inline distT="0" distB="0" distL="0" distR="0">
            <wp:extent cx="4542155" cy="2912745"/>
            <wp:effectExtent l="6095" t="6092" r="4190" b="5331"/>
            <wp:docPr id="2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rPr>
          <w:rFonts w:ascii="仿宋_GB2312" w:hAnsi="仿宋" w:eastAsia="仿宋_GB2312"/>
          <w:szCs w:val="22"/>
        </w:rPr>
      </w:pPr>
      <w:r>
        <w:rPr>
          <w:rFonts w:hint="eastAsia" w:ascii="仿宋_GB2312" w:hAnsi="仿宋" w:eastAsia="仿宋_GB2312"/>
          <w:szCs w:val="22"/>
        </w:rPr>
        <w:t xml:space="preserve">         </w:t>
      </w:r>
    </w:p>
    <w:p>
      <w:pPr>
        <w:jc w:val="center"/>
        <w:rPr>
          <w:rFonts w:ascii="仿宋_GB2312" w:hAnsi="仿宋" w:eastAsia="仿宋_GB2312" w:cs="宋体"/>
          <w:kern w:val="0"/>
          <w:sz w:val="23"/>
          <w:szCs w:val="23"/>
        </w:rPr>
      </w:pPr>
      <w:r>
        <w:rPr>
          <w:rFonts w:hint="eastAsia" w:ascii="仿宋_GB2312" w:hAnsi="仿宋" w:eastAsia="仿宋_GB2312" w:cs="宋体"/>
          <w:kern w:val="0"/>
          <w:sz w:val="23"/>
          <w:szCs w:val="23"/>
        </w:rPr>
        <w:t>图21 2018-2022年农村常住居民人均可支配收入与增长速度</w:t>
      </w:r>
    </w:p>
    <w:p>
      <w:pPr>
        <w:ind w:firstLine="420" w:firstLineChars="200"/>
        <w:jc w:val="center"/>
        <w:rPr>
          <w:rFonts w:ascii="仿宋_GB2312" w:hAnsi="仿宋" w:eastAsia="仿宋_GB2312" w:cs="宋体"/>
          <w:kern w:val="0"/>
          <w:sz w:val="23"/>
          <w:szCs w:val="23"/>
        </w:rPr>
      </w:pPr>
      <w:r>
        <w:drawing>
          <wp:inline distT="0" distB="0" distL="0" distR="0">
            <wp:extent cx="4542155" cy="2932430"/>
            <wp:effectExtent l="6095" t="6093" r="4190" b="4570"/>
            <wp:docPr id="2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spacing w:line="560" w:lineRule="exact"/>
        <w:ind w:firstLine="640" w:firstLineChars="200"/>
        <w:rPr>
          <w:rFonts w:eastAsia="仿宋_GB2312"/>
          <w:sz w:val="32"/>
          <w:szCs w:val="32"/>
        </w:rPr>
      </w:pPr>
      <w:r>
        <w:rPr>
          <w:rFonts w:eastAsia="仿宋_GB2312"/>
          <w:sz w:val="32"/>
          <w:szCs w:val="32"/>
        </w:rPr>
        <w:t>全市共退出低保252户349人。低保标准提高为1050元/人/月。低保对象新增153户252人，低保边缘对象新增91户159人，特困人员新增50户50人。全市共有低保对象2823户3620人，低保边缘对象667户979人，特困人员201户202人，全年共发放低保金3290.39万元，特困人员供养金1156.84万元，幸福增收岗工资60.81万元，临时救助289人75.08万元，为精减退职人员、国民党抗战老兵和三老人员等发放生活补贴263.59万元。“一站式”医疗救助63668人次，救助资金972万元。</w:t>
      </w:r>
    </w:p>
    <w:p>
      <w:pPr>
        <w:spacing w:line="560" w:lineRule="exact"/>
        <w:ind w:firstLine="640" w:firstLineChars="200"/>
        <w:rPr>
          <w:rFonts w:eastAsia="仿宋_GB2312"/>
          <w:color w:val="000000"/>
          <w:sz w:val="32"/>
          <w:szCs w:val="32"/>
        </w:rPr>
      </w:pPr>
      <w:r>
        <w:rPr>
          <w:rFonts w:eastAsia="仿宋_GB2312"/>
          <w:color w:val="000000"/>
          <w:sz w:val="32"/>
          <w:szCs w:val="32"/>
        </w:rPr>
        <w:t>年末城镇职工基本养老保险参保人数76.2万人，职工基本医疗保险参保人数71.29万人，失业保险参保人数40.53万人，工伤保险参保人数62.66万人，生育保险参保人数57.9万人，城乡居民基本医疗保险人数42.16万人。</w:t>
      </w:r>
    </w:p>
    <w:p>
      <w:pPr>
        <w:spacing w:line="560" w:lineRule="exact"/>
        <w:ind w:firstLine="560" w:firstLineChars="200"/>
        <w:rPr>
          <w:rFonts w:hAnsi="仿宋" w:eastAsia="仿宋"/>
          <w:sz w:val="28"/>
        </w:rPr>
      </w:pPr>
    </w:p>
    <w:p>
      <w:pPr>
        <w:spacing w:line="560" w:lineRule="exact"/>
        <w:ind w:firstLine="560" w:firstLineChars="200"/>
        <w:rPr>
          <w:rFonts w:eastAsia="仿宋"/>
          <w:sz w:val="28"/>
        </w:rPr>
      </w:pPr>
      <w:r>
        <w:rPr>
          <w:rFonts w:hAnsi="仿宋" w:eastAsia="仿宋"/>
          <w:sz w:val="28"/>
        </w:rPr>
        <w:t>注释：</w:t>
      </w:r>
    </w:p>
    <w:p>
      <w:pPr>
        <w:spacing w:line="560" w:lineRule="exact"/>
        <w:ind w:firstLine="460" w:firstLineChars="200"/>
        <w:rPr>
          <w:rFonts w:eastAsia="仿宋"/>
          <w:sz w:val="28"/>
        </w:rPr>
      </w:pPr>
      <w:r>
        <w:rPr>
          <w:color w:val="000000"/>
          <w:kern w:val="0"/>
          <w:sz w:val="23"/>
          <w:szCs w:val="23"/>
        </w:rPr>
        <w:t>[1]</w:t>
      </w:r>
      <w:r>
        <w:rPr>
          <w:rFonts w:hAnsi="仿宋" w:eastAsia="仿宋"/>
          <w:sz w:val="28"/>
        </w:rPr>
        <w:t>本公报所列各项数据为年度初步统计数据，部分数据因四舍五入原因，可能存在与分项合计不等的情况；</w:t>
      </w:r>
    </w:p>
    <w:p>
      <w:pPr>
        <w:tabs>
          <w:tab w:val="left" w:pos="648"/>
        </w:tabs>
        <w:spacing w:line="560" w:lineRule="exact"/>
        <w:ind w:firstLine="460" w:firstLineChars="200"/>
        <w:outlineLvl w:val="0"/>
        <w:rPr>
          <w:rFonts w:eastAsia="仿宋"/>
          <w:sz w:val="28"/>
        </w:rPr>
      </w:pPr>
      <w:r>
        <w:rPr>
          <w:color w:val="000000"/>
          <w:kern w:val="0"/>
          <w:sz w:val="23"/>
          <w:szCs w:val="23"/>
        </w:rPr>
        <w:t>[2]</w:t>
      </w:r>
      <w:r>
        <w:rPr>
          <w:rFonts w:hAnsi="仿宋" w:eastAsia="仿宋"/>
          <w:sz w:val="28"/>
        </w:rPr>
        <w:t>户籍人口数为公安部门统计年报数；</w:t>
      </w:r>
    </w:p>
    <w:p>
      <w:pPr>
        <w:tabs>
          <w:tab w:val="left" w:pos="648"/>
        </w:tabs>
        <w:spacing w:line="560" w:lineRule="exact"/>
        <w:ind w:firstLine="460" w:firstLineChars="200"/>
        <w:rPr>
          <w:rFonts w:eastAsia="仿宋"/>
          <w:sz w:val="28"/>
        </w:rPr>
      </w:pPr>
      <w:r>
        <w:rPr>
          <w:color w:val="000000"/>
          <w:kern w:val="0"/>
          <w:sz w:val="23"/>
          <w:szCs w:val="23"/>
        </w:rPr>
        <w:t>[3]</w:t>
      </w:r>
      <w:r>
        <w:rPr>
          <w:rFonts w:hAnsi="仿宋" w:eastAsia="仿宋"/>
          <w:sz w:val="28"/>
        </w:rPr>
        <w:t>公报中生产总值和各产业增加值绝对数按现价计算，增长速度按可比价计算；</w:t>
      </w:r>
    </w:p>
    <w:p>
      <w:pPr>
        <w:tabs>
          <w:tab w:val="left" w:pos="648"/>
        </w:tabs>
        <w:spacing w:line="560" w:lineRule="exact"/>
        <w:ind w:firstLine="460" w:firstLineChars="200"/>
        <w:rPr>
          <w:rFonts w:eastAsia="仿宋"/>
          <w:sz w:val="28"/>
        </w:rPr>
      </w:pPr>
      <w:r>
        <w:rPr>
          <w:color w:val="000000"/>
          <w:kern w:val="0"/>
          <w:sz w:val="23"/>
          <w:szCs w:val="23"/>
        </w:rPr>
        <w:t>[4]</w:t>
      </w:r>
      <w:r>
        <w:rPr>
          <w:rFonts w:hAnsi="仿宋" w:eastAsia="仿宋"/>
          <w:sz w:val="28"/>
        </w:rPr>
        <w:t>规模以上工业企业指年销售收入</w:t>
      </w:r>
      <w:r>
        <w:rPr>
          <w:rFonts w:eastAsia="仿宋"/>
          <w:sz w:val="28"/>
        </w:rPr>
        <w:t>2000</w:t>
      </w:r>
      <w:r>
        <w:rPr>
          <w:rFonts w:hAnsi="仿宋" w:eastAsia="仿宋"/>
          <w:sz w:val="28"/>
        </w:rPr>
        <w:t>万元及以上工业企业。</w:t>
      </w:r>
    </w:p>
    <w:p>
      <w:pPr>
        <w:tabs>
          <w:tab w:val="left" w:pos="648"/>
        </w:tabs>
        <w:spacing w:line="560" w:lineRule="exact"/>
        <w:ind w:firstLine="280" w:firstLineChars="100"/>
        <w:rPr>
          <w:rFonts w:eastAsia="仿宋"/>
          <w:sz w:val="28"/>
        </w:rPr>
      </w:pPr>
    </w:p>
    <w:p>
      <w:pPr>
        <w:spacing w:line="560" w:lineRule="exact"/>
        <w:ind w:firstLine="640" w:firstLineChars="200"/>
        <w:rPr>
          <w:rFonts w:eastAsia="仿宋_GB2312"/>
          <w:sz w:val="32"/>
          <w:szCs w:val="32"/>
        </w:rPr>
      </w:pPr>
    </w:p>
    <w:sectPr>
      <w:headerReference r:id="rId3" w:type="default"/>
      <w:footerReference r:id="rId5" w:type="default"/>
      <w:headerReference r:id="rId4" w:type="even"/>
      <w:footerReference r:id="rId6" w:type="even"/>
      <w:pgSz w:w="11906" w:h="16838"/>
      <w:pgMar w:top="1440" w:right="1800" w:bottom="1440" w:left="1800"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312" w:wrap="around" w:vAnchor="text" w:hAnchor="page" w:x="9205" w:y="-2"/>
      <w:rPr>
        <w:rStyle w:val="18"/>
        <w:rFonts w:ascii="宋体" w:hAnsi="宋体"/>
        <w:sz w:val="28"/>
        <w:szCs w:val="28"/>
      </w:rPr>
    </w:pPr>
    <w:r>
      <w:rPr>
        <w:rStyle w:val="18"/>
        <w:rFonts w:hint="eastAsia" w:ascii="宋体" w:hAnsi="宋体"/>
        <w:sz w:val="28"/>
        <w:szCs w:val="28"/>
      </w:rPr>
      <w:t xml:space="preserve">— </w:t>
    </w: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25</w:t>
    </w:r>
    <w:r>
      <w:rPr>
        <w:rFonts w:ascii="宋体" w:hAnsi="宋体"/>
        <w:sz w:val="28"/>
        <w:szCs w:val="28"/>
      </w:rPr>
      <w:fldChar w:fldCharType="end"/>
    </w:r>
    <w:r>
      <w:rPr>
        <w:rStyle w:val="18"/>
        <w:rFonts w:hint="eastAsia" w:ascii="宋体" w:hAnsi="宋体"/>
        <w:sz w:val="28"/>
        <w:szCs w:val="28"/>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firstLine="280" w:firstLineChars="100"/>
      <w:rPr>
        <w:rStyle w:val="18"/>
        <w:rFonts w:ascii="宋体" w:hAnsi="宋体"/>
        <w:sz w:val="28"/>
        <w:szCs w:val="28"/>
      </w:rPr>
    </w:pPr>
    <w:r>
      <w:rPr>
        <w:rStyle w:val="18"/>
        <w:rFonts w:hint="eastAsia" w:ascii="宋体" w:hAnsi="宋体"/>
        <w:sz w:val="28"/>
        <w:szCs w:val="28"/>
      </w:rPr>
      <w:t xml:space="preserve">— </w:t>
    </w:r>
    <w:r>
      <w:rPr>
        <w:rFonts w:ascii="宋体" w:hAnsi="宋体"/>
        <w:sz w:val="28"/>
        <w:szCs w:val="28"/>
      </w:rPr>
      <w:fldChar w:fldCharType="begin"/>
    </w:r>
    <w:r>
      <w:rPr>
        <w:rStyle w:val="18"/>
        <w:rFonts w:ascii="宋体" w:hAnsi="宋体"/>
        <w:sz w:val="28"/>
        <w:szCs w:val="28"/>
      </w:rPr>
      <w:instrText xml:space="preserve">PAGE  </w:instrText>
    </w:r>
    <w:r>
      <w:rPr>
        <w:rFonts w:ascii="宋体" w:hAnsi="宋体"/>
        <w:sz w:val="28"/>
        <w:szCs w:val="28"/>
      </w:rPr>
      <w:fldChar w:fldCharType="separate"/>
    </w:r>
    <w:r>
      <w:rPr>
        <w:rStyle w:val="18"/>
        <w:rFonts w:ascii="宋体" w:hAnsi="宋体"/>
        <w:sz w:val="28"/>
        <w:szCs w:val="28"/>
      </w:rPr>
      <w:t>24</w:t>
    </w:r>
    <w:r>
      <w:rPr>
        <w:rFonts w:ascii="宋体" w:hAnsi="宋体"/>
        <w:sz w:val="28"/>
        <w:szCs w:val="28"/>
      </w:rPr>
      <w:fldChar w:fldCharType="end"/>
    </w:r>
    <w:r>
      <w:rPr>
        <w:rStyle w:val="18"/>
        <w:rFonts w:hint="eastAsia" w:ascii="宋体" w:hAnsi="宋体"/>
        <w:sz w:val="28"/>
        <w:szCs w:val="28"/>
      </w:rPr>
      <w:t xml:space="preserve"> —</w:t>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bdr w:val="single" w:color="auto" w:sz="6" w:space="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zOGFkYmU0NDRmYTVkNGJhYTZkNzIzYTc0NmEzOWQifQ=="/>
  </w:docVars>
  <w:rsids>
    <w:rsidRoot w:val="73B113BE"/>
    <w:rsid w:val="00000787"/>
    <w:rsid w:val="00000C4A"/>
    <w:rsid w:val="0000131C"/>
    <w:rsid w:val="0000174E"/>
    <w:rsid w:val="00002415"/>
    <w:rsid w:val="0000272C"/>
    <w:rsid w:val="0000343A"/>
    <w:rsid w:val="00003474"/>
    <w:rsid w:val="00003D6A"/>
    <w:rsid w:val="0000473F"/>
    <w:rsid w:val="000047C0"/>
    <w:rsid w:val="00004AFF"/>
    <w:rsid w:val="00004C3C"/>
    <w:rsid w:val="0000580D"/>
    <w:rsid w:val="000062E8"/>
    <w:rsid w:val="00006D41"/>
    <w:rsid w:val="00007D7C"/>
    <w:rsid w:val="0001029E"/>
    <w:rsid w:val="000108AB"/>
    <w:rsid w:val="0001231A"/>
    <w:rsid w:val="0001274B"/>
    <w:rsid w:val="00012A14"/>
    <w:rsid w:val="00012A83"/>
    <w:rsid w:val="00012B92"/>
    <w:rsid w:val="0001329D"/>
    <w:rsid w:val="000136BB"/>
    <w:rsid w:val="000148BB"/>
    <w:rsid w:val="00014BA0"/>
    <w:rsid w:val="000150E3"/>
    <w:rsid w:val="0001541C"/>
    <w:rsid w:val="00015BAB"/>
    <w:rsid w:val="00016016"/>
    <w:rsid w:val="00016A98"/>
    <w:rsid w:val="00016C6A"/>
    <w:rsid w:val="00016D62"/>
    <w:rsid w:val="00016FB1"/>
    <w:rsid w:val="00017418"/>
    <w:rsid w:val="000174F0"/>
    <w:rsid w:val="000176BC"/>
    <w:rsid w:val="00017726"/>
    <w:rsid w:val="00020766"/>
    <w:rsid w:val="00021B40"/>
    <w:rsid w:val="000222E1"/>
    <w:rsid w:val="00022C5E"/>
    <w:rsid w:val="00023AA1"/>
    <w:rsid w:val="00023C58"/>
    <w:rsid w:val="0002452F"/>
    <w:rsid w:val="00024892"/>
    <w:rsid w:val="000257E3"/>
    <w:rsid w:val="00025C7A"/>
    <w:rsid w:val="000267E5"/>
    <w:rsid w:val="00026913"/>
    <w:rsid w:val="00026FF4"/>
    <w:rsid w:val="000274D1"/>
    <w:rsid w:val="00027EBE"/>
    <w:rsid w:val="00027F05"/>
    <w:rsid w:val="000303F9"/>
    <w:rsid w:val="000316FD"/>
    <w:rsid w:val="0003176E"/>
    <w:rsid w:val="00031823"/>
    <w:rsid w:val="00031907"/>
    <w:rsid w:val="0003212F"/>
    <w:rsid w:val="00032793"/>
    <w:rsid w:val="000334CF"/>
    <w:rsid w:val="00033EF0"/>
    <w:rsid w:val="000357AD"/>
    <w:rsid w:val="000357C0"/>
    <w:rsid w:val="00035921"/>
    <w:rsid w:val="00035999"/>
    <w:rsid w:val="000362F6"/>
    <w:rsid w:val="000365EB"/>
    <w:rsid w:val="000367C5"/>
    <w:rsid w:val="00036852"/>
    <w:rsid w:val="000368B2"/>
    <w:rsid w:val="00037520"/>
    <w:rsid w:val="00037696"/>
    <w:rsid w:val="00037AC1"/>
    <w:rsid w:val="00037C1C"/>
    <w:rsid w:val="0004035D"/>
    <w:rsid w:val="00040804"/>
    <w:rsid w:val="0004081D"/>
    <w:rsid w:val="00041687"/>
    <w:rsid w:val="0004260F"/>
    <w:rsid w:val="00043E12"/>
    <w:rsid w:val="0004467A"/>
    <w:rsid w:val="00044904"/>
    <w:rsid w:val="00044ABE"/>
    <w:rsid w:val="000453EB"/>
    <w:rsid w:val="00045767"/>
    <w:rsid w:val="00045EC4"/>
    <w:rsid w:val="000464BC"/>
    <w:rsid w:val="00047295"/>
    <w:rsid w:val="000472BD"/>
    <w:rsid w:val="000475C9"/>
    <w:rsid w:val="00051169"/>
    <w:rsid w:val="000511D8"/>
    <w:rsid w:val="00051F08"/>
    <w:rsid w:val="0005310B"/>
    <w:rsid w:val="000536F2"/>
    <w:rsid w:val="00053936"/>
    <w:rsid w:val="00053A86"/>
    <w:rsid w:val="00053B9A"/>
    <w:rsid w:val="00053C14"/>
    <w:rsid w:val="000546AE"/>
    <w:rsid w:val="00055C11"/>
    <w:rsid w:val="0005621E"/>
    <w:rsid w:val="00057896"/>
    <w:rsid w:val="00060582"/>
    <w:rsid w:val="000607D4"/>
    <w:rsid w:val="00060FCC"/>
    <w:rsid w:val="000619E9"/>
    <w:rsid w:val="000625F6"/>
    <w:rsid w:val="00062748"/>
    <w:rsid w:val="00062987"/>
    <w:rsid w:val="00063213"/>
    <w:rsid w:val="000635B5"/>
    <w:rsid w:val="00063C54"/>
    <w:rsid w:val="00064309"/>
    <w:rsid w:val="0006443B"/>
    <w:rsid w:val="00064607"/>
    <w:rsid w:val="0006465F"/>
    <w:rsid w:val="00064B51"/>
    <w:rsid w:val="00065023"/>
    <w:rsid w:val="0006537A"/>
    <w:rsid w:val="00065577"/>
    <w:rsid w:val="0006582D"/>
    <w:rsid w:val="0006657B"/>
    <w:rsid w:val="000665E5"/>
    <w:rsid w:val="00066878"/>
    <w:rsid w:val="00066E83"/>
    <w:rsid w:val="000670A5"/>
    <w:rsid w:val="00067150"/>
    <w:rsid w:val="0006775D"/>
    <w:rsid w:val="00067AFD"/>
    <w:rsid w:val="00067DC4"/>
    <w:rsid w:val="0007046E"/>
    <w:rsid w:val="00070BA4"/>
    <w:rsid w:val="0007119C"/>
    <w:rsid w:val="000716B3"/>
    <w:rsid w:val="00072704"/>
    <w:rsid w:val="0007290C"/>
    <w:rsid w:val="00072CC5"/>
    <w:rsid w:val="000733FA"/>
    <w:rsid w:val="00073749"/>
    <w:rsid w:val="00074149"/>
    <w:rsid w:val="000741A8"/>
    <w:rsid w:val="000741AD"/>
    <w:rsid w:val="00074D0A"/>
    <w:rsid w:val="00075E13"/>
    <w:rsid w:val="000760C8"/>
    <w:rsid w:val="00076443"/>
    <w:rsid w:val="00076628"/>
    <w:rsid w:val="000766D0"/>
    <w:rsid w:val="000768EE"/>
    <w:rsid w:val="000774FD"/>
    <w:rsid w:val="00077910"/>
    <w:rsid w:val="0008131C"/>
    <w:rsid w:val="00081C43"/>
    <w:rsid w:val="0008234F"/>
    <w:rsid w:val="00082711"/>
    <w:rsid w:val="000831BB"/>
    <w:rsid w:val="00083429"/>
    <w:rsid w:val="000834E4"/>
    <w:rsid w:val="00083A93"/>
    <w:rsid w:val="000843DD"/>
    <w:rsid w:val="00084D07"/>
    <w:rsid w:val="00084D3F"/>
    <w:rsid w:val="000853CD"/>
    <w:rsid w:val="00085634"/>
    <w:rsid w:val="000858D6"/>
    <w:rsid w:val="000860D2"/>
    <w:rsid w:val="00086125"/>
    <w:rsid w:val="000862DA"/>
    <w:rsid w:val="00086669"/>
    <w:rsid w:val="000867B7"/>
    <w:rsid w:val="00090817"/>
    <w:rsid w:val="00090D73"/>
    <w:rsid w:val="00091726"/>
    <w:rsid w:val="0009253E"/>
    <w:rsid w:val="00092CEE"/>
    <w:rsid w:val="00092FD2"/>
    <w:rsid w:val="000930CF"/>
    <w:rsid w:val="000932FB"/>
    <w:rsid w:val="000936ED"/>
    <w:rsid w:val="00094096"/>
    <w:rsid w:val="000941C7"/>
    <w:rsid w:val="000948A8"/>
    <w:rsid w:val="000948D5"/>
    <w:rsid w:val="00095304"/>
    <w:rsid w:val="00095659"/>
    <w:rsid w:val="000957B7"/>
    <w:rsid w:val="00095C46"/>
    <w:rsid w:val="00096132"/>
    <w:rsid w:val="00096796"/>
    <w:rsid w:val="00096B83"/>
    <w:rsid w:val="000970A7"/>
    <w:rsid w:val="000972C4"/>
    <w:rsid w:val="0009738C"/>
    <w:rsid w:val="0009750C"/>
    <w:rsid w:val="00097609"/>
    <w:rsid w:val="00097C5A"/>
    <w:rsid w:val="000A0018"/>
    <w:rsid w:val="000A05C8"/>
    <w:rsid w:val="000A0875"/>
    <w:rsid w:val="000A109A"/>
    <w:rsid w:val="000A121E"/>
    <w:rsid w:val="000A170E"/>
    <w:rsid w:val="000A1711"/>
    <w:rsid w:val="000A26F1"/>
    <w:rsid w:val="000A2A11"/>
    <w:rsid w:val="000A2CB6"/>
    <w:rsid w:val="000A2FCA"/>
    <w:rsid w:val="000A3264"/>
    <w:rsid w:val="000A3383"/>
    <w:rsid w:val="000A3429"/>
    <w:rsid w:val="000A59ED"/>
    <w:rsid w:val="000A6EA3"/>
    <w:rsid w:val="000A7D50"/>
    <w:rsid w:val="000A7E41"/>
    <w:rsid w:val="000B0596"/>
    <w:rsid w:val="000B08CE"/>
    <w:rsid w:val="000B0FB1"/>
    <w:rsid w:val="000B10D7"/>
    <w:rsid w:val="000B12C7"/>
    <w:rsid w:val="000B1BA7"/>
    <w:rsid w:val="000B2111"/>
    <w:rsid w:val="000B21DE"/>
    <w:rsid w:val="000B24C7"/>
    <w:rsid w:val="000B28A9"/>
    <w:rsid w:val="000B4204"/>
    <w:rsid w:val="000B562F"/>
    <w:rsid w:val="000B6BC3"/>
    <w:rsid w:val="000B6CDA"/>
    <w:rsid w:val="000B70B4"/>
    <w:rsid w:val="000B75D7"/>
    <w:rsid w:val="000C0126"/>
    <w:rsid w:val="000C0153"/>
    <w:rsid w:val="000C019A"/>
    <w:rsid w:val="000C06A1"/>
    <w:rsid w:val="000C0B12"/>
    <w:rsid w:val="000C0DEF"/>
    <w:rsid w:val="000C12F2"/>
    <w:rsid w:val="000C1833"/>
    <w:rsid w:val="000C2872"/>
    <w:rsid w:val="000C2DED"/>
    <w:rsid w:val="000C2EBC"/>
    <w:rsid w:val="000C44E4"/>
    <w:rsid w:val="000C4821"/>
    <w:rsid w:val="000C49BF"/>
    <w:rsid w:val="000C4BC0"/>
    <w:rsid w:val="000C4C9F"/>
    <w:rsid w:val="000C58FA"/>
    <w:rsid w:val="000C59DB"/>
    <w:rsid w:val="000C5C1C"/>
    <w:rsid w:val="000C5D64"/>
    <w:rsid w:val="000C5F75"/>
    <w:rsid w:val="000C68ED"/>
    <w:rsid w:val="000C759F"/>
    <w:rsid w:val="000D13B5"/>
    <w:rsid w:val="000D149F"/>
    <w:rsid w:val="000D1546"/>
    <w:rsid w:val="000D1AD2"/>
    <w:rsid w:val="000D1F63"/>
    <w:rsid w:val="000D27A7"/>
    <w:rsid w:val="000D2B6E"/>
    <w:rsid w:val="000D39F3"/>
    <w:rsid w:val="000D4294"/>
    <w:rsid w:val="000D443F"/>
    <w:rsid w:val="000D46DE"/>
    <w:rsid w:val="000D54E2"/>
    <w:rsid w:val="000D601A"/>
    <w:rsid w:val="000D646D"/>
    <w:rsid w:val="000D73FB"/>
    <w:rsid w:val="000D7732"/>
    <w:rsid w:val="000E0583"/>
    <w:rsid w:val="000E0723"/>
    <w:rsid w:val="000E097F"/>
    <w:rsid w:val="000E0B08"/>
    <w:rsid w:val="000E1021"/>
    <w:rsid w:val="000E136E"/>
    <w:rsid w:val="000E16C7"/>
    <w:rsid w:val="000E221C"/>
    <w:rsid w:val="000E244F"/>
    <w:rsid w:val="000E2A77"/>
    <w:rsid w:val="000E2EC1"/>
    <w:rsid w:val="000E3CDD"/>
    <w:rsid w:val="000E3E4E"/>
    <w:rsid w:val="000E4454"/>
    <w:rsid w:val="000E4DB2"/>
    <w:rsid w:val="000E4EA8"/>
    <w:rsid w:val="000E5814"/>
    <w:rsid w:val="000E5980"/>
    <w:rsid w:val="000E59ED"/>
    <w:rsid w:val="000E5C82"/>
    <w:rsid w:val="000E5DBF"/>
    <w:rsid w:val="000E5E49"/>
    <w:rsid w:val="000E6263"/>
    <w:rsid w:val="000E68B4"/>
    <w:rsid w:val="000E734A"/>
    <w:rsid w:val="000E735D"/>
    <w:rsid w:val="000E783A"/>
    <w:rsid w:val="000F00CE"/>
    <w:rsid w:val="000F01F0"/>
    <w:rsid w:val="000F09EA"/>
    <w:rsid w:val="000F0C49"/>
    <w:rsid w:val="000F118B"/>
    <w:rsid w:val="000F1527"/>
    <w:rsid w:val="000F1FF9"/>
    <w:rsid w:val="000F2130"/>
    <w:rsid w:val="000F2184"/>
    <w:rsid w:val="000F231E"/>
    <w:rsid w:val="000F2482"/>
    <w:rsid w:val="000F2A3E"/>
    <w:rsid w:val="000F2BB0"/>
    <w:rsid w:val="000F2C33"/>
    <w:rsid w:val="000F2E55"/>
    <w:rsid w:val="000F3820"/>
    <w:rsid w:val="000F3F2D"/>
    <w:rsid w:val="000F4340"/>
    <w:rsid w:val="000F457A"/>
    <w:rsid w:val="000F48BD"/>
    <w:rsid w:val="000F4C62"/>
    <w:rsid w:val="000F4F8F"/>
    <w:rsid w:val="000F5657"/>
    <w:rsid w:val="000F63B0"/>
    <w:rsid w:val="000F6441"/>
    <w:rsid w:val="000F64B2"/>
    <w:rsid w:val="000F6EE9"/>
    <w:rsid w:val="000F6EFA"/>
    <w:rsid w:val="000F71AE"/>
    <w:rsid w:val="000F77C2"/>
    <w:rsid w:val="000F79B3"/>
    <w:rsid w:val="000F7A89"/>
    <w:rsid w:val="00100683"/>
    <w:rsid w:val="00101002"/>
    <w:rsid w:val="00101B1E"/>
    <w:rsid w:val="001023EC"/>
    <w:rsid w:val="001027B2"/>
    <w:rsid w:val="00102ACB"/>
    <w:rsid w:val="001030B0"/>
    <w:rsid w:val="00103F29"/>
    <w:rsid w:val="00104A1F"/>
    <w:rsid w:val="00105531"/>
    <w:rsid w:val="00105DAB"/>
    <w:rsid w:val="00105E89"/>
    <w:rsid w:val="00105FDA"/>
    <w:rsid w:val="0010694C"/>
    <w:rsid w:val="00106D59"/>
    <w:rsid w:val="00106D6D"/>
    <w:rsid w:val="00107088"/>
    <w:rsid w:val="0010796A"/>
    <w:rsid w:val="00107A47"/>
    <w:rsid w:val="00107C8C"/>
    <w:rsid w:val="00107D36"/>
    <w:rsid w:val="001104CD"/>
    <w:rsid w:val="0011093F"/>
    <w:rsid w:val="00110E5F"/>
    <w:rsid w:val="00111406"/>
    <w:rsid w:val="001115BA"/>
    <w:rsid w:val="001118EC"/>
    <w:rsid w:val="00111AF1"/>
    <w:rsid w:val="0011235F"/>
    <w:rsid w:val="001126E1"/>
    <w:rsid w:val="00112B7F"/>
    <w:rsid w:val="00112B8C"/>
    <w:rsid w:val="00113E02"/>
    <w:rsid w:val="0011428B"/>
    <w:rsid w:val="00114396"/>
    <w:rsid w:val="00114BAB"/>
    <w:rsid w:val="00114DDB"/>
    <w:rsid w:val="00115018"/>
    <w:rsid w:val="00115962"/>
    <w:rsid w:val="00115DB1"/>
    <w:rsid w:val="00116AD9"/>
    <w:rsid w:val="00116BA8"/>
    <w:rsid w:val="0011707C"/>
    <w:rsid w:val="001175B3"/>
    <w:rsid w:val="00117889"/>
    <w:rsid w:val="00120134"/>
    <w:rsid w:val="0012019D"/>
    <w:rsid w:val="00120232"/>
    <w:rsid w:val="00120913"/>
    <w:rsid w:val="001214F9"/>
    <w:rsid w:val="00121A9F"/>
    <w:rsid w:val="0012313C"/>
    <w:rsid w:val="00123223"/>
    <w:rsid w:val="001233CA"/>
    <w:rsid w:val="00123593"/>
    <w:rsid w:val="00123ABC"/>
    <w:rsid w:val="00123D98"/>
    <w:rsid w:val="00123FD5"/>
    <w:rsid w:val="00124ACE"/>
    <w:rsid w:val="001253C9"/>
    <w:rsid w:val="00125533"/>
    <w:rsid w:val="00125C08"/>
    <w:rsid w:val="0012628B"/>
    <w:rsid w:val="00126BDD"/>
    <w:rsid w:val="00126D5C"/>
    <w:rsid w:val="001273AD"/>
    <w:rsid w:val="00127409"/>
    <w:rsid w:val="001275A1"/>
    <w:rsid w:val="001300F8"/>
    <w:rsid w:val="001302A0"/>
    <w:rsid w:val="001308FA"/>
    <w:rsid w:val="00130A15"/>
    <w:rsid w:val="00131576"/>
    <w:rsid w:val="00131D65"/>
    <w:rsid w:val="00133289"/>
    <w:rsid w:val="001338E0"/>
    <w:rsid w:val="001343C9"/>
    <w:rsid w:val="00134AAD"/>
    <w:rsid w:val="001350B8"/>
    <w:rsid w:val="001362DB"/>
    <w:rsid w:val="00137188"/>
    <w:rsid w:val="001372B9"/>
    <w:rsid w:val="001377C8"/>
    <w:rsid w:val="00137B15"/>
    <w:rsid w:val="001407A2"/>
    <w:rsid w:val="00140893"/>
    <w:rsid w:val="00140999"/>
    <w:rsid w:val="001409F4"/>
    <w:rsid w:val="00140AC2"/>
    <w:rsid w:val="00140ECC"/>
    <w:rsid w:val="00141288"/>
    <w:rsid w:val="00141450"/>
    <w:rsid w:val="00141DCF"/>
    <w:rsid w:val="001422D0"/>
    <w:rsid w:val="0014364F"/>
    <w:rsid w:val="00143816"/>
    <w:rsid w:val="0014387F"/>
    <w:rsid w:val="00143F9F"/>
    <w:rsid w:val="00144539"/>
    <w:rsid w:val="0014551D"/>
    <w:rsid w:val="00145546"/>
    <w:rsid w:val="00145756"/>
    <w:rsid w:val="00145ED5"/>
    <w:rsid w:val="00145F5F"/>
    <w:rsid w:val="00146170"/>
    <w:rsid w:val="00146DE3"/>
    <w:rsid w:val="00146E36"/>
    <w:rsid w:val="001471AA"/>
    <w:rsid w:val="001475BA"/>
    <w:rsid w:val="00150C70"/>
    <w:rsid w:val="001513DD"/>
    <w:rsid w:val="001514A0"/>
    <w:rsid w:val="001515E7"/>
    <w:rsid w:val="00151DD7"/>
    <w:rsid w:val="00152136"/>
    <w:rsid w:val="001521F1"/>
    <w:rsid w:val="0015221A"/>
    <w:rsid w:val="0015354B"/>
    <w:rsid w:val="00153758"/>
    <w:rsid w:val="00153F3D"/>
    <w:rsid w:val="00155658"/>
    <w:rsid w:val="001561F0"/>
    <w:rsid w:val="0015623F"/>
    <w:rsid w:val="00156498"/>
    <w:rsid w:val="00156A21"/>
    <w:rsid w:val="00156C95"/>
    <w:rsid w:val="00156E7C"/>
    <w:rsid w:val="001579CD"/>
    <w:rsid w:val="00157A35"/>
    <w:rsid w:val="00157C77"/>
    <w:rsid w:val="00160186"/>
    <w:rsid w:val="00160948"/>
    <w:rsid w:val="001617E6"/>
    <w:rsid w:val="00161804"/>
    <w:rsid w:val="00161F19"/>
    <w:rsid w:val="00162700"/>
    <w:rsid w:val="00162974"/>
    <w:rsid w:val="00162A9B"/>
    <w:rsid w:val="00163798"/>
    <w:rsid w:val="001647CB"/>
    <w:rsid w:val="00164F90"/>
    <w:rsid w:val="00165FFE"/>
    <w:rsid w:val="0016600C"/>
    <w:rsid w:val="00166675"/>
    <w:rsid w:val="00166785"/>
    <w:rsid w:val="00166988"/>
    <w:rsid w:val="00167BC0"/>
    <w:rsid w:val="00170422"/>
    <w:rsid w:val="001705A2"/>
    <w:rsid w:val="00170A13"/>
    <w:rsid w:val="00170D18"/>
    <w:rsid w:val="00171C0D"/>
    <w:rsid w:val="0017220B"/>
    <w:rsid w:val="0017264D"/>
    <w:rsid w:val="001729F7"/>
    <w:rsid w:val="00172A50"/>
    <w:rsid w:val="00172B2A"/>
    <w:rsid w:val="00172BD3"/>
    <w:rsid w:val="00172DB6"/>
    <w:rsid w:val="00172ED5"/>
    <w:rsid w:val="001754EE"/>
    <w:rsid w:val="00175ED3"/>
    <w:rsid w:val="00176033"/>
    <w:rsid w:val="0017603A"/>
    <w:rsid w:val="00176541"/>
    <w:rsid w:val="001765A7"/>
    <w:rsid w:val="00176E1C"/>
    <w:rsid w:val="00176EA8"/>
    <w:rsid w:val="00177495"/>
    <w:rsid w:val="0017795C"/>
    <w:rsid w:val="00177A98"/>
    <w:rsid w:val="00177B15"/>
    <w:rsid w:val="00177E0B"/>
    <w:rsid w:val="00180004"/>
    <w:rsid w:val="001801D6"/>
    <w:rsid w:val="00180826"/>
    <w:rsid w:val="00180EA7"/>
    <w:rsid w:val="001815E0"/>
    <w:rsid w:val="00182A42"/>
    <w:rsid w:val="00183AE0"/>
    <w:rsid w:val="0018404B"/>
    <w:rsid w:val="00184761"/>
    <w:rsid w:val="00184CEE"/>
    <w:rsid w:val="001852F6"/>
    <w:rsid w:val="00185655"/>
    <w:rsid w:val="00186668"/>
    <w:rsid w:val="00186995"/>
    <w:rsid w:val="0018717C"/>
    <w:rsid w:val="001871EF"/>
    <w:rsid w:val="0018741E"/>
    <w:rsid w:val="001875A8"/>
    <w:rsid w:val="00187F4C"/>
    <w:rsid w:val="00190667"/>
    <w:rsid w:val="001907C2"/>
    <w:rsid w:val="0019091D"/>
    <w:rsid w:val="00190AC0"/>
    <w:rsid w:val="00190AE7"/>
    <w:rsid w:val="00191FE5"/>
    <w:rsid w:val="00192D38"/>
    <w:rsid w:val="00192F22"/>
    <w:rsid w:val="00192FC7"/>
    <w:rsid w:val="0019328B"/>
    <w:rsid w:val="001943BA"/>
    <w:rsid w:val="001952C2"/>
    <w:rsid w:val="001967F2"/>
    <w:rsid w:val="00196E33"/>
    <w:rsid w:val="00197765"/>
    <w:rsid w:val="001977C9"/>
    <w:rsid w:val="001A009E"/>
    <w:rsid w:val="001A050C"/>
    <w:rsid w:val="001A051A"/>
    <w:rsid w:val="001A0DE1"/>
    <w:rsid w:val="001A10E1"/>
    <w:rsid w:val="001A157A"/>
    <w:rsid w:val="001A157C"/>
    <w:rsid w:val="001A15F7"/>
    <w:rsid w:val="001A1A8D"/>
    <w:rsid w:val="001A1AB4"/>
    <w:rsid w:val="001A238D"/>
    <w:rsid w:val="001A2B55"/>
    <w:rsid w:val="001A2CFB"/>
    <w:rsid w:val="001A3174"/>
    <w:rsid w:val="001A455C"/>
    <w:rsid w:val="001A4B12"/>
    <w:rsid w:val="001A4C20"/>
    <w:rsid w:val="001A54DA"/>
    <w:rsid w:val="001A54EB"/>
    <w:rsid w:val="001A5CAC"/>
    <w:rsid w:val="001A5EEF"/>
    <w:rsid w:val="001A7C24"/>
    <w:rsid w:val="001A7E62"/>
    <w:rsid w:val="001B0BFC"/>
    <w:rsid w:val="001B0F08"/>
    <w:rsid w:val="001B189E"/>
    <w:rsid w:val="001B1EA0"/>
    <w:rsid w:val="001B20FE"/>
    <w:rsid w:val="001B26DC"/>
    <w:rsid w:val="001B2C56"/>
    <w:rsid w:val="001B3041"/>
    <w:rsid w:val="001B359A"/>
    <w:rsid w:val="001B39EF"/>
    <w:rsid w:val="001B3A61"/>
    <w:rsid w:val="001B3EA9"/>
    <w:rsid w:val="001B44C8"/>
    <w:rsid w:val="001B50D5"/>
    <w:rsid w:val="001B57E5"/>
    <w:rsid w:val="001B5AAC"/>
    <w:rsid w:val="001B5FB5"/>
    <w:rsid w:val="001B646F"/>
    <w:rsid w:val="001B71B7"/>
    <w:rsid w:val="001B747B"/>
    <w:rsid w:val="001B799F"/>
    <w:rsid w:val="001C024C"/>
    <w:rsid w:val="001C0C9A"/>
    <w:rsid w:val="001C16F0"/>
    <w:rsid w:val="001C172F"/>
    <w:rsid w:val="001C17D2"/>
    <w:rsid w:val="001C1860"/>
    <w:rsid w:val="001C1FD2"/>
    <w:rsid w:val="001C28F3"/>
    <w:rsid w:val="001C2906"/>
    <w:rsid w:val="001C2B48"/>
    <w:rsid w:val="001C2CEF"/>
    <w:rsid w:val="001C30B4"/>
    <w:rsid w:val="001C372B"/>
    <w:rsid w:val="001C3866"/>
    <w:rsid w:val="001C3E8B"/>
    <w:rsid w:val="001C5F76"/>
    <w:rsid w:val="001C6EF6"/>
    <w:rsid w:val="001C7471"/>
    <w:rsid w:val="001C7A82"/>
    <w:rsid w:val="001D034E"/>
    <w:rsid w:val="001D0362"/>
    <w:rsid w:val="001D0FD7"/>
    <w:rsid w:val="001D150B"/>
    <w:rsid w:val="001D1829"/>
    <w:rsid w:val="001D1BC7"/>
    <w:rsid w:val="001D2662"/>
    <w:rsid w:val="001D3ABD"/>
    <w:rsid w:val="001D3E1C"/>
    <w:rsid w:val="001D4178"/>
    <w:rsid w:val="001D594D"/>
    <w:rsid w:val="001D5AF7"/>
    <w:rsid w:val="001D610C"/>
    <w:rsid w:val="001D655D"/>
    <w:rsid w:val="001D66B2"/>
    <w:rsid w:val="001D7067"/>
    <w:rsid w:val="001D7095"/>
    <w:rsid w:val="001D728D"/>
    <w:rsid w:val="001D729D"/>
    <w:rsid w:val="001D7452"/>
    <w:rsid w:val="001D796D"/>
    <w:rsid w:val="001D7C1D"/>
    <w:rsid w:val="001D7FAB"/>
    <w:rsid w:val="001E04F1"/>
    <w:rsid w:val="001E071D"/>
    <w:rsid w:val="001E0788"/>
    <w:rsid w:val="001E0F34"/>
    <w:rsid w:val="001E0F52"/>
    <w:rsid w:val="001E12A2"/>
    <w:rsid w:val="001E189B"/>
    <w:rsid w:val="001E1A36"/>
    <w:rsid w:val="001E2272"/>
    <w:rsid w:val="001E242C"/>
    <w:rsid w:val="001E2659"/>
    <w:rsid w:val="001E29B4"/>
    <w:rsid w:val="001E43A3"/>
    <w:rsid w:val="001E55E9"/>
    <w:rsid w:val="001E5F13"/>
    <w:rsid w:val="001E5F54"/>
    <w:rsid w:val="001E61BF"/>
    <w:rsid w:val="001E62AA"/>
    <w:rsid w:val="001E65B2"/>
    <w:rsid w:val="001E6840"/>
    <w:rsid w:val="001E6B17"/>
    <w:rsid w:val="001E6ECA"/>
    <w:rsid w:val="001E73FD"/>
    <w:rsid w:val="001E7B92"/>
    <w:rsid w:val="001F0045"/>
    <w:rsid w:val="001F058C"/>
    <w:rsid w:val="001F0620"/>
    <w:rsid w:val="001F0F91"/>
    <w:rsid w:val="001F19FB"/>
    <w:rsid w:val="001F1C99"/>
    <w:rsid w:val="001F2511"/>
    <w:rsid w:val="001F257D"/>
    <w:rsid w:val="001F27C2"/>
    <w:rsid w:val="001F2E5A"/>
    <w:rsid w:val="001F357F"/>
    <w:rsid w:val="001F396D"/>
    <w:rsid w:val="001F3B1D"/>
    <w:rsid w:val="001F3EE3"/>
    <w:rsid w:val="001F4B0B"/>
    <w:rsid w:val="001F4C2F"/>
    <w:rsid w:val="001F52D7"/>
    <w:rsid w:val="001F5443"/>
    <w:rsid w:val="001F6437"/>
    <w:rsid w:val="001F6583"/>
    <w:rsid w:val="001F6DDE"/>
    <w:rsid w:val="001F6FF0"/>
    <w:rsid w:val="001F7868"/>
    <w:rsid w:val="0020087B"/>
    <w:rsid w:val="0020099B"/>
    <w:rsid w:val="00201118"/>
    <w:rsid w:val="00201C1B"/>
    <w:rsid w:val="00202B6A"/>
    <w:rsid w:val="00203DA1"/>
    <w:rsid w:val="00203F8C"/>
    <w:rsid w:val="002042EB"/>
    <w:rsid w:val="00204869"/>
    <w:rsid w:val="00204BDA"/>
    <w:rsid w:val="00205F3D"/>
    <w:rsid w:val="002066DC"/>
    <w:rsid w:val="00206B8F"/>
    <w:rsid w:val="0020761C"/>
    <w:rsid w:val="00210562"/>
    <w:rsid w:val="00210897"/>
    <w:rsid w:val="00210C51"/>
    <w:rsid w:val="0021197E"/>
    <w:rsid w:val="0021198D"/>
    <w:rsid w:val="00211A2D"/>
    <w:rsid w:val="00211B4B"/>
    <w:rsid w:val="00212CCF"/>
    <w:rsid w:val="00213FFD"/>
    <w:rsid w:val="00214011"/>
    <w:rsid w:val="002142F8"/>
    <w:rsid w:val="00214934"/>
    <w:rsid w:val="00214967"/>
    <w:rsid w:val="00214A78"/>
    <w:rsid w:val="002152A9"/>
    <w:rsid w:val="002152D5"/>
    <w:rsid w:val="00215470"/>
    <w:rsid w:val="00215CF9"/>
    <w:rsid w:val="00216491"/>
    <w:rsid w:val="00216DEF"/>
    <w:rsid w:val="00216E5D"/>
    <w:rsid w:val="00217229"/>
    <w:rsid w:val="00217A2B"/>
    <w:rsid w:val="00220289"/>
    <w:rsid w:val="00220676"/>
    <w:rsid w:val="00220914"/>
    <w:rsid w:val="00220C57"/>
    <w:rsid w:val="00221124"/>
    <w:rsid w:val="00221476"/>
    <w:rsid w:val="00221972"/>
    <w:rsid w:val="00221997"/>
    <w:rsid w:val="00222053"/>
    <w:rsid w:val="00222176"/>
    <w:rsid w:val="00222A74"/>
    <w:rsid w:val="00223D8E"/>
    <w:rsid w:val="002247A3"/>
    <w:rsid w:val="002248EE"/>
    <w:rsid w:val="00224CBE"/>
    <w:rsid w:val="00224EBF"/>
    <w:rsid w:val="002256DF"/>
    <w:rsid w:val="00225BA4"/>
    <w:rsid w:val="00225E7E"/>
    <w:rsid w:val="00225F3B"/>
    <w:rsid w:val="002264A6"/>
    <w:rsid w:val="002266B7"/>
    <w:rsid w:val="00227001"/>
    <w:rsid w:val="00227129"/>
    <w:rsid w:val="0023084D"/>
    <w:rsid w:val="00231969"/>
    <w:rsid w:val="002329EF"/>
    <w:rsid w:val="002329F6"/>
    <w:rsid w:val="00232CDF"/>
    <w:rsid w:val="00232D96"/>
    <w:rsid w:val="002333E2"/>
    <w:rsid w:val="00233433"/>
    <w:rsid w:val="00233B7B"/>
    <w:rsid w:val="00233B8E"/>
    <w:rsid w:val="0023416E"/>
    <w:rsid w:val="002341FB"/>
    <w:rsid w:val="00234321"/>
    <w:rsid w:val="002346CF"/>
    <w:rsid w:val="00234D90"/>
    <w:rsid w:val="00234F13"/>
    <w:rsid w:val="00235A94"/>
    <w:rsid w:val="00235A95"/>
    <w:rsid w:val="00235B8B"/>
    <w:rsid w:val="00236A4A"/>
    <w:rsid w:val="00237383"/>
    <w:rsid w:val="00237759"/>
    <w:rsid w:val="00237EA0"/>
    <w:rsid w:val="0024087E"/>
    <w:rsid w:val="002408AF"/>
    <w:rsid w:val="00240F40"/>
    <w:rsid w:val="00241321"/>
    <w:rsid w:val="002413D2"/>
    <w:rsid w:val="002428B1"/>
    <w:rsid w:val="00242A6A"/>
    <w:rsid w:val="00242F68"/>
    <w:rsid w:val="00243655"/>
    <w:rsid w:val="00243CCC"/>
    <w:rsid w:val="00243E81"/>
    <w:rsid w:val="00244985"/>
    <w:rsid w:val="00245217"/>
    <w:rsid w:val="00245479"/>
    <w:rsid w:val="00246171"/>
    <w:rsid w:val="00246790"/>
    <w:rsid w:val="00246997"/>
    <w:rsid w:val="0024708A"/>
    <w:rsid w:val="0025030F"/>
    <w:rsid w:val="002503EB"/>
    <w:rsid w:val="002505C9"/>
    <w:rsid w:val="002509B9"/>
    <w:rsid w:val="00250DA8"/>
    <w:rsid w:val="00251053"/>
    <w:rsid w:val="00251524"/>
    <w:rsid w:val="00251870"/>
    <w:rsid w:val="00251C49"/>
    <w:rsid w:val="00251DB9"/>
    <w:rsid w:val="00252B75"/>
    <w:rsid w:val="00253010"/>
    <w:rsid w:val="00253551"/>
    <w:rsid w:val="00253907"/>
    <w:rsid w:val="00253C65"/>
    <w:rsid w:val="0025420C"/>
    <w:rsid w:val="002545C5"/>
    <w:rsid w:val="002546D3"/>
    <w:rsid w:val="00254814"/>
    <w:rsid w:val="00254927"/>
    <w:rsid w:val="002549A0"/>
    <w:rsid w:val="00255455"/>
    <w:rsid w:val="00255E76"/>
    <w:rsid w:val="00257126"/>
    <w:rsid w:val="00257C77"/>
    <w:rsid w:val="00257FF0"/>
    <w:rsid w:val="002609C6"/>
    <w:rsid w:val="00261574"/>
    <w:rsid w:val="00261D8D"/>
    <w:rsid w:val="00261ED0"/>
    <w:rsid w:val="00261F77"/>
    <w:rsid w:val="00262A56"/>
    <w:rsid w:val="002633AB"/>
    <w:rsid w:val="0026341B"/>
    <w:rsid w:val="00263905"/>
    <w:rsid w:val="00263B88"/>
    <w:rsid w:val="0026432E"/>
    <w:rsid w:val="00264C3A"/>
    <w:rsid w:val="00264CE5"/>
    <w:rsid w:val="002650FD"/>
    <w:rsid w:val="00265544"/>
    <w:rsid w:val="002663B9"/>
    <w:rsid w:val="00266C9A"/>
    <w:rsid w:val="0026746F"/>
    <w:rsid w:val="00267635"/>
    <w:rsid w:val="00267898"/>
    <w:rsid w:val="002707B1"/>
    <w:rsid w:val="00270A5B"/>
    <w:rsid w:val="00270D4C"/>
    <w:rsid w:val="00270DE7"/>
    <w:rsid w:val="00271761"/>
    <w:rsid w:val="0027206D"/>
    <w:rsid w:val="0027217A"/>
    <w:rsid w:val="00273024"/>
    <w:rsid w:val="0027354E"/>
    <w:rsid w:val="002738B7"/>
    <w:rsid w:val="002750C2"/>
    <w:rsid w:val="002758A9"/>
    <w:rsid w:val="00275AEA"/>
    <w:rsid w:val="00275C1D"/>
    <w:rsid w:val="00275E1C"/>
    <w:rsid w:val="00275E3F"/>
    <w:rsid w:val="00275EB4"/>
    <w:rsid w:val="002766AB"/>
    <w:rsid w:val="00277E43"/>
    <w:rsid w:val="002803B0"/>
    <w:rsid w:val="00280A8E"/>
    <w:rsid w:val="002810F7"/>
    <w:rsid w:val="002813CD"/>
    <w:rsid w:val="002814AA"/>
    <w:rsid w:val="002814E6"/>
    <w:rsid w:val="00281572"/>
    <w:rsid w:val="0028235A"/>
    <w:rsid w:val="002832EC"/>
    <w:rsid w:val="0028332B"/>
    <w:rsid w:val="0028337F"/>
    <w:rsid w:val="00283AFB"/>
    <w:rsid w:val="002842FB"/>
    <w:rsid w:val="00284812"/>
    <w:rsid w:val="00284B25"/>
    <w:rsid w:val="00285185"/>
    <w:rsid w:val="00285FB6"/>
    <w:rsid w:val="002863AE"/>
    <w:rsid w:val="00286DEB"/>
    <w:rsid w:val="002879A9"/>
    <w:rsid w:val="0029063B"/>
    <w:rsid w:val="00290941"/>
    <w:rsid w:val="00290E8E"/>
    <w:rsid w:val="0029102C"/>
    <w:rsid w:val="00291125"/>
    <w:rsid w:val="0029117B"/>
    <w:rsid w:val="00291399"/>
    <w:rsid w:val="00291435"/>
    <w:rsid w:val="00291A86"/>
    <w:rsid w:val="00291C51"/>
    <w:rsid w:val="00291EAF"/>
    <w:rsid w:val="002922CA"/>
    <w:rsid w:val="00292B80"/>
    <w:rsid w:val="0029492B"/>
    <w:rsid w:val="00294D9C"/>
    <w:rsid w:val="00295057"/>
    <w:rsid w:val="002957F9"/>
    <w:rsid w:val="00296229"/>
    <w:rsid w:val="002963DD"/>
    <w:rsid w:val="00296958"/>
    <w:rsid w:val="0029725F"/>
    <w:rsid w:val="0029731C"/>
    <w:rsid w:val="002973C4"/>
    <w:rsid w:val="00297578"/>
    <w:rsid w:val="00297B3E"/>
    <w:rsid w:val="00297D31"/>
    <w:rsid w:val="002A0925"/>
    <w:rsid w:val="002A0984"/>
    <w:rsid w:val="002A0BF8"/>
    <w:rsid w:val="002A0E2C"/>
    <w:rsid w:val="002A1FD3"/>
    <w:rsid w:val="002A20AC"/>
    <w:rsid w:val="002A3044"/>
    <w:rsid w:val="002A3559"/>
    <w:rsid w:val="002A37CC"/>
    <w:rsid w:val="002A3A04"/>
    <w:rsid w:val="002A4A5C"/>
    <w:rsid w:val="002A52CE"/>
    <w:rsid w:val="002A5BAB"/>
    <w:rsid w:val="002A654D"/>
    <w:rsid w:val="002A6597"/>
    <w:rsid w:val="002A69D5"/>
    <w:rsid w:val="002A74E6"/>
    <w:rsid w:val="002A7D18"/>
    <w:rsid w:val="002A7DB3"/>
    <w:rsid w:val="002B02AF"/>
    <w:rsid w:val="002B04B2"/>
    <w:rsid w:val="002B0622"/>
    <w:rsid w:val="002B0B55"/>
    <w:rsid w:val="002B13F6"/>
    <w:rsid w:val="002B1F47"/>
    <w:rsid w:val="002B206B"/>
    <w:rsid w:val="002B321A"/>
    <w:rsid w:val="002B4FE1"/>
    <w:rsid w:val="002B5200"/>
    <w:rsid w:val="002B5385"/>
    <w:rsid w:val="002B5EED"/>
    <w:rsid w:val="002B6CA5"/>
    <w:rsid w:val="002B7117"/>
    <w:rsid w:val="002B7525"/>
    <w:rsid w:val="002B7FF3"/>
    <w:rsid w:val="002C0130"/>
    <w:rsid w:val="002C0ADF"/>
    <w:rsid w:val="002C0BC5"/>
    <w:rsid w:val="002C11C0"/>
    <w:rsid w:val="002C1CA0"/>
    <w:rsid w:val="002C1E14"/>
    <w:rsid w:val="002C241C"/>
    <w:rsid w:val="002C34A4"/>
    <w:rsid w:val="002C38C8"/>
    <w:rsid w:val="002C41C7"/>
    <w:rsid w:val="002C45F0"/>
    <w:rsid w:val="002C4A61"/>
    <w:rsid w:val="002C4C44"/>
    <w:rsid w:val="002C5C56"/>
    <w:rsid w:val="002C6631"/>
    <w:rsid w:val="002C6CBF"/>
    <w:rsid w:val="002C70D6"/>
    <w:rsid w:val="002C7B51"/>
    <w:rsid w:val="002D05BF"/>
    <w:rsid w:val="002D0FBD"/>
    <w:rsid w:val="002D1CA7"/>
    <w:rsid w:val="002D20CF"/>
    <w:rsid w:val="002D3167"/>
    <w:rsid w:val="002D399C"/>
    <w:rsid w:val="002D3A97"/>
    <w:rsid w:val="002D3AAF"/>
    <w:rsid w:val="002D3F4B"/>
    <w:rsid w:val="002D4CF6"/>
    <w:rsid w:val="002D50A1"/>
    <w:rsid w:val="002D524B"/>
    <w:rsid w:val="002D5393"/>
    <w:rsid w:val="002D56C3"/>
    <w:rsid w:val="002D642D"/>
    <w:rsid w:val="002D6804"/>
    <w:rsid w:val="002D780D"/>
    <w:rsid w:val="002D7990"/>
    <w:rsid w:val="002D7F4E"/>
    <w:rsid w:val="002E09EA"/>
    <w:rsid w:val="002E0D14"/>
    <w:rsid w:val="002E1177"/>
    <w:rsid w:val="002E1238"/>
    <w:rsid w:val="002E15E0"/>
    <w:rsid w:val="002E2AA3"/>
    <w:rsid w:val="002E3902"/>
    <w:rsid w:val="002E3AB8"/>
    <w:rsid w:val="002E3B1B"/>
    <w:rsid w:val="002E4A44"/>
    <w:rsid w:val="002E4F0E"/>
    <w:rsid w:val="002E52D8"/>
    <w:rsid w:val="002E5FD7"/>
    <w:rsid w:val="002E685B"/>
    <w:rsid w:val="002E6E50"/>
    <w:rsid w:val="002E6FE3"/>
    <w:rsid w:val="002E6FFD"/>
    <w:rsid w:val="002E70EF"/>
    <w:rsid w:val="002E7287"/>
    <w:rsid w:val="002E7533"/>
    <w:rsid w:val="002E7ACB"/>
    <w:rsid w:val="002E7C00"/>
    <w:rsid w:val="002F041F"/>
    <w:rsid w:val="002F081C"/>
    <w:rsid w:val="002F0EF9"/>
    <w:rsid w:val="002F1BE9"/>
    <w:rsid w:val="002F1D92"/>
    <w:rsid w:val="002F20BB"/>
    <w:rsid w:val="002F2210"/>
    <w:rsid w:val="002F2942"/>
    <w:rsid w:val="002F486B"/>
    <w:rsid w:val="002F4D0E"/>
    <w:rsid w:val="002F58BC"/>
    <w:rsid w:val="002F58F5"/>
    <w:rsid w:val="002F6E8A"/>
    <w:rsid w:val="002F7631"/>
    <w:rsid w:val="002F7E9D"/>
    <w:rsid w:val="00300693"/>
    <w:rsid w:val="00300E26"/>
    <w:rsid w:val="00301FF4"/>
    <w:rsid w:val="00302B34"/>
    <w:rsid w:val="00302D4B"/>
    <w:rsid w:val="003036FC"/>
    <w:rsid w:val="00304308"/>
    <w:rsid w:val="0030493B"/>
    <w:rsid w:val="00304C98"/>
    <w:rsid w:val="00305329"/>
    <w:rsid w:val="003056BB"/>
    <w:rsid w:val="00305908"/>
    <w:rsid w:val="0030659C"/>
    <w:rsid w:val="003071BF"/>
    <w:rsid w:val="003075ED"/>
    <w:rsid w:val="0030772F"/>
    <w:rsid w:val="00307AE9"/>
    <w:rsid w:val="00307D61"/>
    <w:rsid w:val="00310165"/>
    <w:rsid w:val="00310D32"/>
    <w:rsid w:val="00311139"/>
    <w:rsid w:val="00311938"/>
    <w:rsid w:val="00311AB1"/>
    <w:rsid w:val="00311F9A"/>
    <w:rsid w:val="00312D4E"/>
    <w:rsid w:val="00313364"/>
    <w:rsid w:val="003136AC"/>
    <w:rsid w:val="00313A9D"/>
    <w:rsid w:val="00313CC8"/>
    <w:rsid w:val="00313E19"/>
    <w:rsid w:val="003143F3"/>
    <w:rsid w:val="003149F8"/>
    <w:rsid w:val="00314D30"/>
    <w:rsid w:val="003151E9"/>
    <w:rsid w:val="0031560D"/>
    <w:rsid w:val="00315AB3"/>
    <w:rsid w:val="003167AE"/>
    <w:rsid w:val="00316975"/>
    <w:rsid w:val="00316C77"/>
    <w:rsid w:val="003171F5"/>
    <w:rsid w:val="00317F0C"/>
    <w:rsid w:val="00320275"/>
    <w:rsid w:val="00320DA0"/>
    <w:rsid w:val="00320F2E"/>
    <w:rsid w:val="003213CF"/>
    <w:rsid w:val="00321B66"/>
    <w:rsid w:val="00321F97"/>
    <w:rsid w:val="00322554"/>
    <w:rsid w:val="00323044"/>
    <w:rsid w:val="0032436F"/>
    <w:rsid w:val="00324801"/>
    <w:rsid w:val="00324E2B"/>
    <w:rsid w:val="00325569"/>
    <w:rsid w:val="00325837"/>
    <w:rsid w:val="0032619E"/>
    <w:rsid w:val="003266AA"/>
    <w:rsid w:val="00326899"/>
    <w:rsid w:val="00326E5B"/>
    <w:rsid w:val="00326F57"/>
    <w:rsid w:val="0032704E"/>
    <w:rsid w:val="00327A9E"/>
    <w:rsid w:val="00327D7A"/>
    <w:rsid w:val="00327E23"/>
    <w:rsid w:val="00330234"/>
    <w:rsid w:val="00330B6F"/>
    <w:rsid w:val="00330F4E"/>
    <w:rsid w:val="00330F52"/>
    <w:rsid w:val="00330FAB"/>
    <w:rsid w:val="00331521"/>
    <w:rsid w:val="00331552"/>
    <w:rsid w:val="0033160C"/>
    <w:rsid w:val="00332516"/>
    <w:rsid w:val="00332787"/>
    <w:rsid w:val="003329F9"/>
    <w:rsid w:val="00333788"/>
    <w:rsid w:val="003342E1"/>
    <w:rsid w:val="00334442"/>
    <w:rsid w:val="003346E4"/>
    <w:rsid w:val="00334825"/>
    <w:rsid w:val="00334BFD"/>
    <w:rsid w:val="00334E4D"/>
    <w:rsid w:val="003350FB"/>
    <w:rsid w:val="003364CB"/>
    <w:rsid w:val="00336B7E"/>
    <w:rsid w:val="00340206"/>
    <w:rsid w:val="003406B0"/>
    <w:rsid w:val="00340E9E"/>
    <w:rsid w:val="00340FCC"/>
    <w:rsid w:val="00341183"/>
    <w:rsid w:val="00343196"/>
    <w:rsid w:val="003434CC"/>
    <w:rsid w:val="003445D1"/>
    <w:rsid w:val="00344D49"/>
    <w:rsid w:val="0034532D"/>
    <w:rsid w:val="00345341"/>
    <w:rsid w:val="00346925"/>
    <w:rsid w:val="00346C66"/>
    <w:rsid w:val="00346D16"/>
    <w:rsid w:val="00347121"/>
    <w:rsid w:val="00347A39"/>
    <w:rsid w:val="00350679"/>
    <w:rsid w:val="00350A13"/>
    <w:rsid w:val="00350A3F"/>
    <w:rsid w:val="00350E21"/>
    <w:rsid w:val="00350FD9"/>
    <w:rsid w:val="00351089"/>
    <w:rsid w:val="003512FF"/>
    <w:rsid w:val="003518E0"/>
    <w:rsid w:val="003523C9"/>
    <w:rsid w:val="00353295"/>
    <w:rsid w:val="00353AE2"/>
    <w:rsid w:val="00353F12"/>
    <w:rsid w:val="00354037"/>
    <w:rsid w:val="003540E8"/>
    <w:rsid w:val="003541D0"/>
    <w:rsid w:val="00354C90"/>
    <w:rsid w:val="00355073"/>
    <w:rsid w:val="00355C5A"/>
    <w:rsid w:val="00356ED3"/>
    <w:rsid w:val="00357234"/>
    <w:rsid w:val="00357DD2"/>
    <w:rsid w:val="00360364"/>
    <w:rsid w:val="003605E5"/>
    <w:rsid w:val="00360B74"/>
    <w:rsid w:val="0036193E"/>
    <w:rsid w:val="0036199C"/>
    <w:rsid w:val="00361C24"/>
    <w:rsid w:val="00362121"/>
    <w:rsid w:val="0036277A"/>
    <w:rsid w:val="003628C3"/>
    <w:rsid w:val="00362DBB"/>
    <w:rsid w:val="00363799"/>
    <w:rsid w:val="00363C58"/>
    <w:rsid w:val="00363FAC"/>
    <w:rsid w:val="0036474D"/>
    <w:rsid w:val="00364A22"/>
    <w:rsid w:val="00365B2F"/>
    <w:rsid w:val="00365C39"/>
    <w:rsid w:val="00365C9B"/>
    <w:rsid w:val="00365F36"/>
    <w:rsid w:val="00366207"/>
    <w:rsid w:val="00366848"/>
    <w:rsid w:val="00366BDD"/>
    <w:rsid w:val="00366DB9"/>
    <w:rsid w:val="003671CA"/>
    <w:rsid w:val="00367639"/>
    <w:rsid w:val="00367669"/>
    <w:rsid w:val="00367741"/>
    <w:rsid w:val="00367DCD"/>
    <w:rsid w:val="0037013B"/>
    <w:rsid w:val="003716DD"/>
    <w:rsid w:val="003719A0"/>
    <w:rsid w:val="00371A60"/>
    <w:rsid w:val="0037286F"/>
    <w:rsid w:val="00372ACC"/>
    <w:rsid w:val="00373A8E"/>
    <w:rsid w:val="00373E93"/>
    <w:rsid w:val="00374690"/>
    <w:rsid w:val="00374B04"/>
    <w:rsid w:val="00374B60"/>
    <w:rsid w:val="00375728"/>
    <w:rsid w:val="00375FF0"/>
    <w:rsid w:val="00376DA6"/>
    <w:rsid w:val="00376FB6"/>
    <w:rsid w:val="0037702C"/>
    <w:rsid w:val="00377D84"/>
    <w:rsid w:val="00377E3C"/>
    <w:rsid w:val="003800DC"/>
    <w:rsid w:val="003804B5"/>
    <w:rsid w:val="003810B2"/>
    <w:rsid w:val="00381A4C"/>
    <w:rsid w:val="003822EB"/>
    <w:rsid w:val="00382618"/>
    <w:rsid w:val="003828E5"/>
    <w:rsid w:val="00382B3A"/>
    <w:rsid w:val="00382C1D"/>
    <w:rsid w:val="00383119"/>
    <w:rsid w:val="0038470E"/>
    <w:rsid w:val="003865E3"/>
    <w:rsid w:val="003866F8"/>
    <w:rsid w:val="00386957"/>
    <w:rsid w:val="003871E2"/>
    <w:rsid w:val="00387867"/>
    <w:rsid w:val="003905BF"/>
    <w:rsid w:val="00390703"/>
    <w:rsid w:val="00390E3C"/>
    <w:rsid w:val="003912BE"/>
    <w:rsid w:val="003912FB"/>
    <w:rsid w:val="0039234D"/>
    <w:rsid w:val="00393390"/>
    <w:rsid w:val="00394297"/>
    <w:rsid w:val="0039529A"/>
    <w:rsid w:val="003952AC"/>
    <w:rsid w:val="003958DA"/>
    <w:rsid w:val="00395A21"/>
    <w:rsid w:val="00395BD7"/>
    <w:rsid w:val="00396023"/>
    <w:rsid w:val="003962D6"/>
    <w:rsid w:val="00396C91"/>
    <w:rsid w:val="00396D48"/>
    <w:rsid w:val="00397328"/>
    <w:rsid w:val="003978DD"/>
    <w:rsid w:val="003978FD"/>
    <w:rsid w:val="00397A03"/>
    <w:rsid w:val="00397E65"/>
    <w:rsid w:val="003A0F02"/>
    <w:rsid w:val="003A1C7B"/>
    <w:rsid w:val="003A27CF"/>
    <w:rsid w:val="003A2A0C"/>
    <w:rsid w:val="003A33D9"/>
    <w:rsid w:val="003A34E9"/>
    <w:rsid w:val="003A4189"/>
    <w:rsid w:val="003A5122"/>
    <w:rsid w:val="003A5B8F"/>
    <w:rsid w:val="003A5BB7"/>
    <w:rsid w:val="003A5CC1"/>
    <w:rsid w:val="003A6710"/>
    <w:rsid w:val="003A6851"/>
    <w:rsid w:val="003A6B9B"/>
    <w:rsid w:val="003A6D81"/>
    <w:rsid w:val="003A72BE"/>
    <w:rsid w:val="003B043F"/>
    <w:rsid w:val="003B0FAA"/>
    <w:rsid w:val="003B106A"/>
    <w:rsid w:val="003B2A60"/>
    <w:rsid w:val="003B2D73"/>
    <w:rsid w:val="003B2DA6"/>
    <w:rsid w:val="003B2F3F"/>
    <w:rsid w:val="003B3512"/>
    <w:rsid w:val="003B3A6B"/>
    <w:rsid w:val="003B3CA8"/>
    <w:rsid w:val="003B4868"/>
    <w:rsid w:val="003B5018"/>
    <w:rsid w:val="003B53DA"/>
    <w:rsid w:val="003B5B1C"/>
    <w:rsid w:val="003B5B64"/>
    <w:rsid w:val="003B5D2A"/>
    <w:rsid w:val="003B6015"/>
    <w:rsid w:val="003B6597"/>
    <w:rsid w:val="003B6B47"/>
    <w:rsid w:val="003B6BCB"/>
    <w:rsid w:val="003B7946"/>
    <w:rsid w:val="003C05BF"/>
    <w:rsid w:val="003C06E9"/>
    <w:rsid w:val="003C08BB"/>
    <w:rsid w:val="003C0A3B"/>
    <w:rsid w:val="003C1496"/>
    <w:rsid w:val="003C14F3"/>
    <w:rsid w:val="003C1AD2"/>
    <w:rsid w:val="003C1F25"/>
    <w:rsid w:val="003C2475"/>
    <w:rsid w:val="003C2E6B"/>
    <w:rsid w:val="003C31FC"/>
    <w:rsid w:val="003C4C10"/>
    <w:rsid w:val="003C4C5C"/>
    <w:rsid w:val="003C4FB3"/>
    <w:rsid w:val="003C5777"/>
    <w:rsid w:val="003C5C9B"/>
    <w:rsid w:val="003C6438"/>
    <w:rsid w:val="003C657C"/>
    <w:rsid w:val="003C7596"/>
    <w:rsid w:val="003C76E5"/>
    <w:rsid w:val="003D0047"/>
    <w:rsid w:val="003D0402"/>
    <w:rsid w:val="003D07C0"/>
    <w:rsid w:val="003D0E00"/>
    <w:rsid w:val="003D10DB"/>
    <w:rsid w:val="003D123B"/>
    <w:rsid w:val="003D12EA"/>
    <w:rsid w:val="003D18F3"/>
    <w:rsid w:val="003D1D32"/>
    <w:rsid w:val="003D272B"/>
    <w:rsid w:val="003D2D5E"/>
    <w:rsid w:val="003D3DE2"/>
    <w:rsid w:val="003D3FFB"/>
    <w:rsid w:val="003D41D2"/>
    <w:rsid w:val="003D4F7C"/>
    <w:rsid w:val="003D5323"/>
    <w:rsid w:val="003D53C4"/>
    <w:rsid w:val="003D5B8B"/>
    <w:rsid w:val="003D5CCF"/>
    <w:rsid w:val="003D67D8"/>
    <w:rsid w:val="003D6E4D"/>
    <w:rsid w:val="003E09C6"/>
    <w:rsid w:val="003E161A"/>
    <w:rsid w:val="003E215E"/>
    <w:rsid w:val="003E2BA1"/>
    <w:rsid w:val="003E3233"/>
    <w:rsid w:val="003E4802"/>
    <w:rsid w:val="003E4927"/>
    <w:rsid w:val="003E4A32"/>
    <w:rsid w:val="003E4A82"/>
    <w:rsid w:val="003E4FE6"/>
    <w:rsid w:val="003E5744"/>
    <w:rsid w:val="003E5A23"/>
    <w:rsid w:val="003E5C87"/>
    <w:rsid w:val="003E5EAE"/>
    <w:rsid w:val="003E63E3"/>
    <w:rsid w:val="003E69CA"/>
    <w:rsid w:val="003E6C19"/>
    <w:rsid w:val="003E6C34"/>
    <w:rsid w:val="003E6ED1"/>
    <w:rsid w:val="003E7962"/>
    <w:rsid w:val="003E7BCF"/>
    <w:rsid w:val="003F00B8"/>
    <w:rsid w:val="003F078F"/>
    <w:rsid w:val="003F0856"/>
    <w:rsid w:val="003F0C07"/>
    <w:rsid w:val="003F1465"/>
    <w:rsid w:val="003F1A00"/>
    <w:rsid w:val="003F1D79"/>
    <w:rsid w:val="003F1F76"/>
    <w:rsid w:val="003F24F3"/>
    <w:rsid w:val="003F260C"/>
    <w:rsid w:val="003F27F9"/>
    <w:rsid w:val="003F2E39"/>
    <w:rsid w:val="003F30E8"/>
    <w:rsid w:val="003F42A0"/>
    <w:rsid w:val="003F6992"/>
    <w:rsid w:val="003F69B1"/>
    <w:rsid w:val="003F6B09"/>
    <w:rsid w:val="003F6CBA"/>
    <w:rsid w:val="003F6D95"/>
    <w:rsid w:val="003F7142"/>
    <w:rsid w:val="003F7EE2"/>
    <w:rsid w:val="004000BC"/>
    <w:rsid w:val="004006BE"/>
    <w:rsid w:val="00400BF7"/>
    <w:rsid w:val="00400D6D"/>
    <w:rsid w:val="0040115C"/>
    <w:rsid w:val="00401275"/>
    <w:rsid w:val="00401A05"/>
    <w:rsid w:val="00401A91"/>
    <w:rsid w:val="00401BB5"/>
    <w:rsid w:val="00402289"/>
    <w:rsid w:val="0040233E"/>
    <w:rsid w:val="004028B7"/>
    <w:rsid w:val="00402BDC"/>
    <w:rsid w:val="00403F93"/>
    <w:rsid w:val="00404AF2"/>
    <w:rsid w:val="00404C9D"/>
    <w:rsid w:val="00404E47"/>
    <w:rsid w:val="004054C0"/>
    <w:rsid w:val="0040556E"/>
    <w:rsid w:val="00405EB6"/>
    <w:rsid w:val="0040629E"/>
    <w:rsid w:val="0040674F"/>
    <w:rsid w:val="00406B5B"/>
    <w:rsid w:val="00407A31"/>
    <w:rsid w:val="00407A70"/>
    <w:rsid w:val="00407ADB"/>
    <w:rsid w:val="00407E24"/>
    <w:rsid w:val="00407F9C"/>
    <w:rsid w:val="00410071"/>
    <w:rsid w:val="00410144"/>
    <w:rsid w:val="00410B18"/>
    <w:rsid w:val="0041104E"/>
    <w:rsid w:val="004113CF"/>
    <w:rsid w:val="0041331C"/>
    <w:rsid w:val="00413B05"/>
    <w:rsid w:val="004145E8"/>
    <w:rsid w:val="0041488B"/>
    <w:rsid w:val="00415728"/>
    <w:rsid w:val="0041587A"/>
    <w:rsid w:val="004158FB"/>
    <w:rsid w:val="004161DB"/>
    <w:rsid w:val="0041684F"/>
    <w:rsid w:val="004169A8"/>
    <w:rsid w:val="00417F04"/>
    <w:rsid w:val="00420418"/>
    <w:rsid w:val="004209E5"/>
    <w:rsid w:val="0042116F"/>
    <w:rsid w:val="0042231D"/>
    <w:rsid w:val="00423171"/>
    <w:rsid w:val="00424297"/>
    <w:rsid w:val="00424BD1"/>
    <w:rsid w:val="00425320"/>
    <w:rsid w:val="0042542D"/>
    <w:rsid w:val="00425AFC"/>
    <w:rsid w:val="00425C71"/>
    <w:rsid w:val="004261B6"/>
    <w:rsid w:val="00426AA5"/>
    <w:rsid w:val="00426B37"/>
    <w:rsid w:val="00427381"/>
    <w:rsid w:val="00427F89"/>
    <w:rsid w:val="00430416"/>
    <w:rsid w:val="004307CB"/>
    <w:rsid w:val="00430933"/>
    <w:rsid w:val="00430D14"/>
    <w:rsid w:val="00430FAF"/>
    <w:rsid w:val="0043156D"/>
    <w:rsid w:val="004317BC"/>
    <w:rsid w:val="00431B7B"/>
    <w:rsid w:val="00431C6F"/>
    <w:rsid w:val="00432BC9"/>
    <w:rsid w:val="00432CFE"/>
    <w:rsid w:val="00433532"/>
    <w:rsid w:val="00433BB1"/>
    <w:rsid w:val="00433D51"/>
    <w:rsid w:val="0043438E"/>
    <w:rsid w:val="00434463"/>
    <w:rsid w:val="00434936"/>
    <w:rsid w:val="004358BD"/>
    <w:rsid w:val="00436106"/>
    <w:rsid w:val="004366CD"/>
    <w:rsid w:val="004368A9"/>
    <w:rsid w:val="00436C30"/>
    <w:rsid w:val="00437496"/>
    <w:rsid w:val="00437AC7"/>
    <w:rsid w:val="00437AEE"/>
    <w:rsid w:val="00437CA8"/>
    <w:rsid w:val="00437F9C"/>
    <w:rsid w:val="004404CC"/>
    <w:rsid w:val="00440553"/>
    <w:rsid w:val="004406F5"/>
    <w:rsid w:val="004434CF"/>
    <w:rsid w:val="00443F26"/>
    <w:rsid w:val="00443F67"/>
    <w:rsid w:val="004445F6"/>
    <w:rsid w:val="004446F3"/>
    <w:rsid w:val="00444A40"/>
    <w:rsid w:val="004455AF"/>
    <w:rsid w:val="00445BCC"/>
    <w:rsid w:val="004460B3"/>
    <w:rsid w:val="004466C8"/>
    <w:rsid w:val="004469E5"/>
    <w:rsid w:val="00446AD1"/>
    <w:rsid w:val="00446CDD"/>
    <w:rsid w:val="00446F23"/>
    <w:rsid w:val="00446FFF"/>
    <w:rsid w:val="0044713C"/>
    <w:rsid w:val="0044743A"/>
    <w:rsid w:val="004476B5"/>
    <w:rsid w:val="004477AB"/>
    <w:rsid w:val="0044786A"/>
    <w:rsid w:val="0044797E"/>
    <w:rsid w:val="00447C08"/>
    <w:rsid w:val="00447E00"/>
    <w:rsid w:val="00450984"/>
    <w:rsid w:val="00450CA7"/>
    <w:rsid w:val="00450ECD"/>
    <w:rsid w:val="00451134"/>
    <w:rsid w:val="0045118C"/>
    <w:rsid w:val="004513E4"/>
    <w:rsid w:val="0045330B"/>
    <w:rsid w:val="00453A6B"/>
    <w:rsid w:val="00453FC9"/>
    <w:rsid w:val="004540C5"/>
    <w:rsid w:val="0045476C"/>
    <w:rsid w:val="00454931"/>
    <w:rsid w:val="004549E3"/>
    <w:rsid w:val="00454E1B"/>
    <w:rsid w:val="00454E5A"/>
    <w:rsid w:val="004559F1"/>
    <w:rsid w:val="0045657C"/>
    <w:rsid w:val="0045684B"/>
    <w:rsid w:val="004569EB"/>
    <w:rsid w:val="00457096"/>
    <w:rsid w:val="00457A8D"/>
    <w:rsid w:val="00460F6D"/>
    <w:rsid w:val="00461995"/>
    <w:rsid w:val="00461EBE"/>
    <w:rsid w:val="00462E22"/>
    <w:rsid w:val="0046358F"/>
    <w:rsid w:val="004635AD"/>
    <w:rsid w:val="00463BC5"/>
    <w:rsid w:val="00463CDE"/>
    <w:rsid w:val="0046442A"/>
    <w:rsid w:val="00464D81"/>
    <w:rsid w:val="00465043"/>
    <w:rsid w:val="00465190"/>
    <w:rsid w:val="00465A5D"/>
    <w:rsid w:val="0046604B"/>
    <w:rsid w:val="004664FB"/>
    <w:rsid w:val="004666D1"/>
    <w:rsid w:val="00466BB0"/>
    <w:rsid w:val="00466C7E"/>
    <w:rsid w:val="00466DE0"/>
    <w:rsid w:val="004672D9"/>
    <w:rsid w:val="00470057"/>
    <w:rsid w:val="0047011B"/>
    <w:rsid w:val="00470125"/>
    <w:rsid w:val="004703AC"/>
    <w:rsid w:val="004703D8"/>
    <w:rsid w:val="004717FE"/>
    <w:rsid w:val="00471A03"/>
    <w:rsid w:val="00471D3F"/>
    <w:rsid w:val="004728A6"/>
    <w:rsid w:val="00472E8C"/>
    <w:rsid w:val="00473A57"/>
    <w:rsid w:val="0047410A"/>
    <w:rsid w:val="00474557"/>
    <w:rsid w:val="004745D0"/>
    <w:rsid w:val="0047465E"/>
    <w:rsid w:val="00474DAF"/>
    <w:rsid w:val="00475CF2"/>
    <w:rsid w:val="00475DE2"/>
    <w:rsid w:val="00476ABC"/>
    <w:rsid w:val="00476C98"/>
    <w:rsid w:val="00476F23"/>
    <w:rsid w:val="004771C7"/>
    <w:rsid w:val="004775B0"/>
    <w:rsid w:val="004805AB"/>
    <w:rsid w:val="004807BA"/>
    <w:rsid w:val="004809CA"/>
    <w:rsid w:val="00480DCA"/>
    <w:rsid w:val="00480E1F"/>
    <w:rsid w:val="004810FD"/>
    <w:rsid w:val="00481B50"/>
    <w:rsid w:val="00481CC8"/>
    <w:rsid w:val="004826D7"/>
    <w:rsid w:val="00482809"/>
    <w:rsid w:val="00483AC2"/>
    <w:rsid w:val="00484366"/>
    <w:rsid w:val="00484406"/>
    <w:rsid w:val="00484495"/>
    <w:rsid w:val="0048479B"/>
    <w:rsid w:val="00484846"/>
    <w:rsid w:val="00484891"/>
    <w:rsid w:val="00484BF8"/>
    <w:rsid w:val="00484CE9"/>
    <w:rsid w:val="00485E66"/>
    <w:rsid w:val="004869B7"/>
    <w:rsid w:val="00486F0E"/>
    <w:rsid w:val="00487371"/>
    <w:rsid w:val="0048778B"/>
    <w:rsid w:val="00490492"/>
    <w:rsid w:val="00490536"/>
    <w:rsid w:val="00490B2F"/>
    <w:rsid w:val="00491409"/>
    <w:rsid w:val="00492D12"/>
    <w:rsid w:val="00492F9B"/>
    <w:rsid w:val="004931F1"/>
    <w:rsid w:val="00493A5B"/>
    <w:rsid w:val="00493EAB"/>
    <w:rsid w:val="00494346"/>
    <w:rsid w:val="004943B0"/>
    <w:rsid w:val="004949D5"/>
    <w:rsid w:val="00494B03"/>
    <w:rsid w:val="0049581E"/>
    <w:rsid w:val="0049584F"/>
    <w:rsid w:val="00495C89"/>
    <w:rsid w:val="004960A5"/>
    <w:rsid w:val="00496322"/>
    <w:rsid w:val="00496BE6"/>
    <w:rsid w:val="0049737E"/>
    <w:rsid w:val="004975D2"/>
    <w:rsid w:val="00497B08"/>
    <w:rsid w:val="00497BB4"/>
    <w:rsid w:val="00497BB7"/>
    <w:rsid w:val="00497E0D"/>
    <w:rsid w:val="004A09D4"/>
    <w:rsid w:val="004A0F01"/>
    <w:rsid w:val="004A1B86"/>
    <w:rsid w:val="004A2083"/>
    <w:rsid w:val="004A2CB8"/>
    <w:rsid w:val="004A2D2E"/>
    <w:rsid w:val="004A3A8F"/>
    <w:rsid w:val="004A4079"/>
    <w:rsid w:val="004A4F41"/>
    <w:rsid w:val="004B0087"/>
    <w:rsid w:val="004B05D8"/>
    <w:rsid w:val="004B0A6B"/>
    <w:rsid w:val="004B0BDD"/>
    <w:rsid w:val="004B1204"/>
    <w:rsid w:val="004B1D4C"/>
    <w:rsid w:val="004B1EC2"/>
    <w:rsid w:val="004B308E"/>
    <w:rsid w:val="004B43AF"/>
    <w:rsid w:val="004B43FF"/>
    <w:rsid w:val="004B4E15"/>
    <w:rsid w:val="004B50B2"/>
    <w:rsid w:val="004B5578"/>
    <w:rsid w:val="004B5700"/>
    <w:rsid w:val="004B59BE"/>
    <w:rsid w:val="004B5A5A"/>
    <w:rsid w:val="004B5B99"/>
    <w:rsid w:val="004B6CE6"/>
    <w:rsid w:val="004B6F1C"/>
    <w:rsid w:val="004B7294"/>
    <w:rsid w:val="004B775C"/>
    <w:rsid w:val="004B7AAF"/>
    <w:rsid w:val="004C0CEE"/>
    <w:rsid w:val="004C10C7"/>
    <w:rsid w:val="004C13CA"/>
    <w:rsid w:val="004C19AC"/>
    <w:rsid w:val="004C1D27"/>
    <w:rsid w:val="004C2589"/>
    <w:rsid w:val="004C29BC"/>
    <w:rsid w:val="004C2D7D"/>
    <w:rsid w:val="004C2EFA"/>
    <w:rsid w:val="004C3307"/>
    <w:rsid w:val="004C3440"/>
    <w:rsid w:val="004C36A0"/>
    <w:rsid w:val="004C3A27"/>
    <w:rsid w:val="004C40C8"/>
    <w:rsid w:val="004C48E4"/>
    <w:rsid w:val="004C4DE4"/>
    <w:rsid w:val="004C530C"/>
    <w:rsid w:val="004C535F"/>
    <w:rsid w:val="004C562E"/>
    <w:rsid w:val="004C5F12"/>
    <w:rsid w:val="004C61E1"/>
    <w:rsid w:val="004C6722"/>
    <w:rsid w:val="004C6FCF"/>
    <w:rsid w:val="004D01DA"/>
    <w:rsid w:val="004D03E1"/>
    <w:rsid w:val="004D0ADA"/>
    <w:rsid w:val="004D182B"/>
    <w:rsid w:val="004D3CAE"/>
    <w:rsid w:val="004D3E5E"/>
    <w:rsid w:val="004D3F7A"/>
    <w:rsid w:val="004D44C2"/>
    <w:rsid w:val="004D46CF"/>
    <w:rsid w:val="004D493C"/>
    <w:rsid w:val="004D4BC2"/>
    <w:rsid w:val="004D5160"/>
    <w:rsid w:val="004D58F9"/>
    <w:rsid w:val="004D5909"/>
    <w:rsid w:val="004D6916"/>
    <w:rsid w:val="004D7145"/>
    <w:rsid w:val="004D7595"/>
    <w:rsid w:val="004D7C86"/>
    <w:rsid w:val="004D7E08"/>
    <w:rsid w:val="004D7FD4"/>
    <w:rsid w:val="004E02A2"/>
    <w:rsid w:val="004E030F"/>
    <w:rsid w:val="004E0575"/>
    <w:rsid w:val="004E0856"/>
    <w:rsid w:val="004E0F1D"/>
    <w:rsid w:val="004E152E"/>
    <w:rsid w:val="004E1593"/>
    <w:rsid w:val="004E1E7E"/>
    <w:rsid w:val="004E2AF8"/>
    <w:rsid w:val="004E2DC0"/>
    <w:rsid w:val="004E324E"/>
    <w:rsid w:val="004E3D2A"/>
    <w:rsid w:val="004E4034"/>
    <w:rsid w:val="004E464E"/>
    <w:rsid w:val="004E5270"/>
    <w:rsid w:val="004E5E46"/>
    <w:rsid w:val="004E649B"/>
    <w:rsid w:val="004E75E9"/>
    <w:rsid w:val="004E792C"/>
    <w:rsid w:val="004F04BE"/>
    <w:rsid w:val="004F0A11"/>
    <w:rsid w:val="004F0E2A"/>
    <w:rsid w:val="004F0E9E"/>
    <w:rsid w:val="004F0EE6"/>
    <w:rsid w:val="004F10E0"/>
    <w:rsid w:val="004F1FA2"/>
    <w:rsid w:val="004F1FF5"/>
    <w:rsid w:val="004F2180"/>
    <w:rsid w:val="004F2282"/>
    <w:rsid w:val="004F246C"/>
    <w:rsid w:val="004F31E3"/>
    <w:rsid w:val="004F37DD"/>
    <w:rsid w:val="004F3AF2"/>
    <w:rsid w:val="004F3C15"/>
    <w:rsid w:val="004F3E5C"/>
    <w:rsid w:val="004F42AF"/>
    <w:rsid w:val="004F4C53"/>
    <w:rsid w:val="004F522E"/>
    <w:rsid w:val="004F5C30"/>
    <w:rsid w:val="004F61CB"/>
    <w:rsid w:val="004F6BEA"/>
    <w:rsid w:val="004F795C"/>
    <w:rsid w:val="004F7B55"/>
    <w:rsid w:val="005006CE"/>
    <w:rsid w:val="005008CF"/>
    <w:rsid w:val="00500CD5"/>
    <w:rsid w:val="00500FC3"/>
    <w:rsid w:val="005014DC"/>
    <w:rsid w:val="005018CE"/>
    <w:rsid w:val="00501EE3"/>
    <w:rsid w:val="0050324F"/>
    <w:rsid w:val="00503571"/>
    <w:rsid w:val="00503589"/>
    <w:rsid w:val="00503C0A"/>
    <w:rsid w:val="00503D28"/>
    <w:rsid w:val="00503EC6"/>
    <w:rsid w:val="00504C98"/>
    <w:rsid w:val="005055B2"/>
    <w:rsid w:val="0050582E"/>
    <w:rsid w:val="00505BD1"/>
    <w:rsid w:val="00505BF0"/>
    <w:rsid w:val="00505FC8"/>
    <w:rsid w:val="0050624E"/>
    <w:rsid w:val="005062B3"/>
    <w:rsid w:val="0050754C"/>
    <w:rsid w:val="005075C8"/>
    <w:rsid w:val="00507624"/>
    <w:rsid w:val="00507FB1"/>
    <w:rsid w:val="0051017A"/>
    <w:rsid w:val="00510808"/>
    <w:rsid w:val="00510D7B"/>
    <w:rsid w:val="00511095"/>
    <w:rsid w:val="00511263"/>
    <w:rsid w:val="005123AD"/>
    <w:rsid w:val="00512C32"/>
    <w:rsid w:val="00512CEB"/>
    <w:rsid w:val="00512E2F"/>
    <w:rsid w:val="00513268"/>
    <w:rsid w:val="005139F4"/>
    <w:rsid w:val="00513CFD"/>
    <w:rsid w:val="0051429B"/>
    <w:rsid w:val="0051456F"/>
    <w:rsid w:val="005146A9"/>
    <w:rsid w:val="00514D0B"/>
    <w:rsid w:val="00515BC7"/>
    <w:rsid w:val="0051610E"/>
    <w:rsid w:val="00516117"/>
    <w:rsid w:val="005179C1"/>
    <w:rsid w:val="00517C8E"/>
    <w:rsid w:val="00517F63"/>
    <w:rsid w:val="005206DF"/>
    <w:rsid w:val="00521D22"/>
    <w:rsid w:val="00521FA6"/>
    <w:rsid w:val="00522073"/>
    <w:rsid w:val="00522163"/>
    <w:rsid w:val="005222BB"/>
    <w:rsid w:val="00522805"/>
    <w:rsid w:val="005228F1"/>
    <w:rsid w:val="00522CE9"/>
    <w:rsid w:val="00522D25"/>
    <w:rsid w:val="00522E89"/>
    <w:rsid w:val="0052320C"/>
    <w:rsid w:val="0052404C"/>
    <w:rsid w:val="005246A3"/>
    <w:rsid w:val="005250D0"/>
    <w:rsid w:val="00525472"/>
    <w:rsid w:val="005258E9"/>
    <w:rsid w:val="0052599F"/>
    <w:rsid w:val="00525D71"/>
    <w:rsid w:val="00526169"/>
    <w:rsid w:val="005264AC"/>
    <w:rsid w:val="00526513"/>
    <w:rsid w:val="00526B78"/>
    <w:rsid w:val="00527565"/>
    <w:rsid w:val="00527E13"/>
    <w:rsid w:val="00527F47"/>
    <w:rsid w:val="00530027"/>
    <w:rsid w:val="00530A3B"/>
    <w:rsid w:val="00531152"/>
    <w:rsid w:val="00531884"/>
    <w:rsid w:val="00531AF4"/>
    <w:rsid w:val="005333A6"/>
    <w:rsid w:val="005335BC"/>
    <w:rsid w:val="00533E38"/>
    <w:rsid w:val="00533F28"/>
    <w:rsid w:val="00535CF8"/>
    <w:rsid w:val="00535F0C"/>
    <w:rsid w:val="00536347"/>
    <w:rsid w:val="00536613"/>
    <w:rsid w:val="00536839"/>
    <w:rsid w:val="00537C0F"/>
    <w:rsid w:val="0054108A"/>
    <w:rsid w:val="00542091"/>
    <w:rsid w:val="0054212E"/>
    <w:rsid w:val="00542771"/>
    <w:rsid w:val="0054354C"/>
    <w:rsid w:val="00543563"/>
    <w:rsid w:val="00543DC7"/>
    <w:rsid w:val="0054461B"/>
    <w:rsid w:val="00544ABA"/>
    <w:rsid w:val="00544FBA"/>
    <w:rsid w:val="005454A4"/>
    <w:rsid w:val="0054559C"/>
    <w:rsid w:val="00545664"/>
    <w:rsid w:val="005458CB"/>
    <w:rsid w:val="00545A3C"/>
    <w:rsid w:val="00546712"/>
    <w:rsid w:val="00546B62"/>
    <w:rsid w:val="005471EB"/>
    <w:rsid w:val="00547288"/>
    <w:rsid w:val="00547628"/>
    <w:rsid w:val="00547D96"/>
    <w:rsid w:val="00547E2D"/>
    <w:rsid w:val="005502F9"/>
    <w:rsid w:val="00551863"/>
    <w:rsid w:val="00552349"/>
    <w:rsid w:val="0055248A"/>
    <w:rsid w:val="00552857"/>
    <w:rsid w:val="00552C69"/>
    <w:rsid w:val="0055359C"/>
    <w:rsid w:val="00553671"/>
    <w:rsid w:val="005536BA"/>
    <w:rsid w:val="00553B92"/>
    <w:rsid w:val="00554632"/>
    <w:rsid w:val="00554BEC"/>
    <w:rsid w:val="00554C40"/>
    <w:rsid w:val="00554D70"/>
    <w:rsid w:val="00554F3F"/>
    <w:rsid w:val="00555338"/>
    <w:rsid w:val="00555916"/>
    <w:rsid w:val="00555FDC"/>
    <w:rsid w:val="00556B52"/>
    <w:rsid w:val="005601C1"/>
    <w:rsid w:val="005616DD"/>
    <w:rsid w:val="0056201D"/>
    <w:rsid w:val="005622B1"/>
    <w:rsid w:val="005623AD"/>
    <w:rsid w:val="0056270D"/>
    <w:rsid w:val="00562ED2"/>
    <w:rsid w:val="00563977"/>
    <w:rsid w:val="00563D40"/>
    <w:rsid w:val="00563F96"/>
    <w:rsid w:val="0056407C"/>
    <w:rsid w:val="005645C7"/>
    <w:rsid w:val="0056498C"/>
    <w:rsid w:val="00564AEB"/>
    <w:rsid w:val="00564D33"/>
    <w:rsid w:val="00566C77"/>
    <w:rsid w:val="00566F51"/>
    <w:rsid w:val="00570D81"/>
    <w:rsid w:val="00571C01"/>
    <w:rsid w:val="00572697"/>
    <w:rsid w:val="00572B3D"/>
    <w:rsid w:val="00572B80"/>
    <w:rsid w:val="00572BF4"/>
    <w:rsid w:val="005733A4"/>
    <w:rsid w:val="00573504"/>
    <w:rsid w:val="00573A11"/>
    <w:rsid w:val="00574356"/>
    <w:rsid w:val="00575138"/>
    <w:rsid w:val="005754C8"/>
    <w:rsid w:val="00575A0D"/>
    <w:rsid w:val="00575D41"/>
    <w:rsid w:val="00576A9A"/>
    <w:rsid w:val="00577C61"/>
    <w:rsid w:val="00577F8E"/>
    <w:rsid w:val="00577FD5"/>
    <w:rsid w:val="00580217"/>
    <w:rsid w:val="005805DB"/>
    <w:rsid w:val="0058075E"/>
    <w:rsid w:val="005810D9"/>
    <w:rsid w:val="005812E1"/>
    <w:rsid w:val="0058187A"/>
    <w:rsid w:val="0058225F"/>
    <w:rsid w:val="00582A03"/>
    <w:rsid w:val="00582DD5"/>
    <w:rsid w:val="005835C3"/>
    <w:rsid w:val="0058379F"/>
    <w:rsid w:val="00583C8E"/>
    <w:rsid w:val="00583D13"/>
    <w:rsid w:val="0058457A"/>
    <w:rsid w:val="005845CF"/>
    <w:rsid w:val="00585943"/>
    <w:rsid w:val="00587734"/>
    <w:rsid w:val="00590174"/>
    <w:rsid w:val="00590653"/>
    <w:rsid w:val="00590B41"/>
    <w:rsid w:val="00590E8A"/>
    <w:rsid w:val="00591BCF"/>
    <w:rsid w:val="0059244C"/>
    <w:rsid w:val="0059246E"/>
    <w:rsid w:val="005928D7"/>
    <w:rsid w:val="005930E8"/>
    <w:rsid w:val="00593197"/>
    <w:rsid w:val="0059328C"/>
    <w:rsid w:val="0059338D"/>
    <w:rsid w:val="0059485A"/>
    <w:rsid w:val="00594B7B"/>
    <w:rsid w:val="00595039"/>
    <w:rsid w:val="0059537F"/>
    <w:rsid w:val="00595785"/>
    <w:rsid w:val="005958A0"/>
    <w:rsid w:val="00595DA5"/>
    <w:rsid w:val="00596006"/>
    <w:rsid w:val="00596C66"/>
    <w:rsid w:val="0059702F"/>
    <w:rsid w:val="0059736B"/>
    <w:rsid w:val="005975B6"/>
    <w:rsid w:val="00597712"/>
    <w:rsid w:val="0059774E"/>
    <w:rsid w:val="005A105A"/>
    <w:rsid w:val="005A14C9"/>
    <w:rsid w:val="005A162B"/>
    <w:rsid w:val="005A167A"/>
    <w:rsid w:val="005A16B3"/>
    <w:rsid w:val="005A1A1C"/>
    <w:rsid w:val="005A1D0E"/>
    <w:rsid w:val="005A1D3D"/>
    <w:rsid w:val="005A1FBC"/>
    <w:rsid w:val="005A2350"/>
    <w:rsid w:val="005A2947"/>
    <w:rsid w:val="005A2AA8"/>
    <w:rsid w:val="005A2D0E"/>
    <w:rsid w:val="005A2EE3"/>
    <w:rsid w:val="005A3173"/>
    <w:rsid w:val="005A34A4"/>
    <w:rsid w:val="005A3B4D"/>
    <w:rsid w:val="005A3CEF"/>
    <w:rsid w:val="005A3E1D"/>
    <w:rsid w:val="005A43F3"/>
    <w:rsid w:val="005A4496"/>
    <w:rsid w:val="005A4C76"/>
    <w:rsid w:val="005A56DB"/>
    <w:rsid w:val="005A57E4"/>
    <w:rsid w:val="005A5A17"/>
    <w:rsid w:val="005A64A6"/>
    <w:rsid w:val="005A658F"/>
    <w:rsid w:val="005A6C48"/>
    <w:rsid w:val="005A741C"/>
    <w:rsid w:val="005A7819"/>
    <w:rsid w:val="005A7A89"/>
    <w:rsid w:val="005B094D"/>
    <w:rsid w:val="005B0FEE"/>
    <w:rsid w:val="005B10DE"/>
    <w:rsid w:val="005B116A"/>
    <w:rsid w:val="005B1252"/>
    <w:rsid w:val="005B167B"/>
    <w:rsid w:val="005B25CC"/>
    <w:rsid w:val="005B2643"/>
    <w:rsid w:val="005B2944"/>
    <w:rsid w:val="005B2C44"/>
    <w:rsid w:val="005B31E5"/>
    <w:rsid w:val="005B334B"/>
    <w:rsid w:val="005B3485"/>
    <w:rsid w:val="005B4824"/>
    <w:rsid w:val="005B5196"/>
    <w:rsid w:val="005B6047"/>
    <w:rsid w:val="005B6542"/>
    <w:rsid w:val="005B6935"/>
    <w:rsid w:val="005B6CEA"/>
    <w:rsid w:val="005B7BF5"/>
    <w:rsid w:val="005C00F4"/>
    <w:rsid w:val="005C07F2"/>
    <w:rsid w:val="005C0D41"/>
    <w:rsid w:val="005C0EA5"/>
    <w:rsid w:val="005C1204"/>
    <w:rsid w:val="005C1818"/>
    <w:rsid w:val="005C19EE"/>
    <w:rsid w:val="005C24C5"/>
    <w:rsid w:val="005C2C35"/>
    <w:rsid w:val="005C2E68"/>
    <w:rsid w:val="005C3A84"/>
    <w:rsid w:val="005C3D69"/>
    <w:rsid w:val="005C3EE3"/>
    <w:rsid w:val="005C45CA"/>
    <w:rsid w:val="005C52D4"/>
    <w:rsid w:val="005C54F1"/>
    <w:rsid w:val="005C644D"/>
    <w:rsid w:val="005C6891"/>
    <w:rsid w:val="005C6A23"/>
    <w:rsid w:val="005C6A79"/>
    <w:rsid w:val="005C6AE7"/>
    <w:rsid w:val="005C6AF4"/>
    <w:rsid w:val="005C6BEC"/>
    <w:rsid w:val="005C6E9F"/>
    <w:rsid w:val="005C74D2"/>
    <w:rsid w:val="005C75EC"/>
    <w:rsid w:val="005C7A3B"/>
    <w:rsid w:val="005C7E15"/>
    <w:rsid w:val="005D040A"/>
    <w:rsid w:val="005D0A00"/>
    <w:rsid w:val="005D180B"/>
    <w:rsid w:val="005D1DF5"/>
    <w:rsid w:val="005D2190"/>
    <w:rsid w:val="005D2E58"/>
    <w:rsid w:val="005D3E45"/>
    <w:rsid w:val="005D445D"/>
    <w:rsid w:val="005D4845"/>
    <w:rsid w:val="005D57BD"/>
    <w:rsid w:val="005D641A"/>
    <w:rsid w:val="005D66FC"/>
    <w:rsid w:val="005D6794"/>
    <w:rsid w:val="005D6F35"/>
    <w:rsid w:val="005D72A4"/>
    <w:rsid w:val="005D7C66"/>
    <w:rsid w:val="005D7E21"/>
    <w:rsid w:val="005E02AF"/>
    <w:rsid w:val="005E0FC2"/>
    <w:rsid w:val="005E1621"/>
    <w:rsid w:val="005E28B5"/>
    <w:rsid w:val="005E2BB8"/>
    <w:rsid w:val="005E30F0"/>
    <w:rsid w:val="005E3183"/>
    <w:rsid w:val="005E33C3"/>
    <w:rsid w:val="005E385E"/>
    <w:rsid w:val="005E3CDB"/>
    <w:rsid w:val="005E4836"/>
    <w:rsid w:val="005E497C"/>
    <w:rsid w:val="005E4F48"/>
    <w:rsid w:val="005E5261"/>
    <w:rsid w:val="005E56AD"/>
    <w:rsid w:val="005E5A9F"/>
    <w:rsid w:val="005E61E3"/>
    <w:rsid w:val="005E6257"/>
    <w:rsid w:val="005E640C"/>
    <w:rsid w:val="005E67FB"/>
    <w:rsid w:val="005E6E9E"/>
    <w:rsid w:val="005E7B28"/>
    <w:rsid w:val="005E7B53"/>
    <w:rsid w:val="005F0226"/>
    <w:rsid w:val="005F027F"/>
    <w:rsid w:val="005F036A"/>
    <w:rsid w:val="005F0546"/>
    <w:rsid w:val="005F1979"/>
    <w:rsid w:val="005F2EA6"/>
    <w:rsid w:val="005F3BC8"/>
    <w:rsid w:val="005F498A"/>
    <w:rsid w:val="005F4995"/>
    <w:rsid w:val="005F4F9A"/>
    <w:rsid w:val="005F564B"/>
    <w:rsid w:val="005F57B0"/>
    <w:rsid w:val="005F57DB"/>
    <w:rsid w:val="005F5B7A"/>
    <w:rsid w:val="005F6394"/>
    <w:rsid w:val="005F64E7"/>
    <w:rsid w:val="005F6AC3"/>
    <w:rsid w:val="005F6FCD"/>
    <w:rsid w:val="005F7182"/>
    <w:rsid w:val="005F7A0C"/>
    <w:rsid w:val="005F7B29"/>
    <w:rsid w:val="0060006E"/>
    <w:rsid w:val="006009BA"/>
    <w:rsid w:val="00600C5B"/>
    <w:rsid w:val="00600E95"/>
    <w:rsid w:val="006014E0"/>
    <w:rsid w:val="00601880"/>
    <w:rsid w:val="00601CA7"/>
    <w:rsid w:val="00601EB0"/>
    <w:rsid w:val="00602647"/>
    <w:rsid w:val="00602B20"/>
    <w:rsid w:val="00603370"/>
    <w:rsid w:val="0060362D"/>
    <w:rsid w:val="006039BC"/>
    <w:rsid w:val="00603A66"/>
    <w:rsid w:val="00603A8B"/>
    <w:rsid w:val="00603C1A"/>
    <w:rsid w:val="00603FF3"/>
    <w:rsid w:val="00604672"/>
    <w:rsid w:val="006048DF"/>
    <w:rsid w:val="006050D9"/>
    <w:rsid w:val="00605979"/>
    <w:rsid w:val="00605BA3"/>
    <w:rsid w:val="00606098"/>
    <w:rsid w:val="0060612B"/>
    <w:rsid w:val="006062BC"/>
    <w:rsid w:val="006065D1"/>
    <w:rsid w:val="0060679A"/>
    <w:rsid w:val="00607297"/>
    <w:rsid w:val="00607E46"/>
    <w:rsid w:val="00610267"/>
    <w:rsid w:val="006102C1"/>
    <w:rsid w:val="00610F1A"/>
    <w:rsid w:val="00611050"/>
    <w:rsid w:val="00611205"/>
    <w:rsid w:val="00612646"/>
    <w:rsid w:val="00612873"/>
    <w:rsid w:val="00612D3D"/>
    <w:rsid w:val="00612FBF"/>
    <w:rsid w:val="00614009"/>
    <w:rsid w:val="006140A8"/>
    <w:rsid w:val="006142F1"/>
    <w:rsid w:val="006146E9"/>
    <w:rsid w:val="0061560A"/>
    <w:rsid w:val="006158CE"/>
    <w:rsid w:val="00616B84"/>
    <w:rsid w:val="00616E18"/>
    <w:rsid w:val="006177DD"/>
    <w:rsid w:val="006178F3"/>
    <w:rsid w:val="00617B1C"/>
    <w:rsid w:val="00620BAF"/>
    <w:rsid w:val="00621508"/>
    <w:rsid w:val="006216C9"/>
    <w:rsid w:val="006219F9"/>
    <w:rsid w:val="00621B10"/>
    <w:rsid w:val="00621BA3"/>
    <w:rsid w:val="00622634"/>
    <w:rsid w:val="00622FFB"/>
    <w:rsid w:val="00623631"/>
    <w:rsid w:val="00623B58"/>
    <w:rsid w:val="00623F0A"/>
    <w:rsid w:val="00624F08"/>
    <w:rsid w:val="00625649"/>
    <w:rsid w:val="00625680"/>
    <w:rsid w:val="006257D0"/>
    <w:rsid w:val="00625A65"/>
    <w:rsid w:val="00626363"/>
    <w:rsid w:val="00626BC0"/>
    <w:rsid w:val="00627127"/>
    <w:rsid w:val="00627939"/>
    <w:rsid w:val="00627AF0"/>
    <w:rsid w:val="00630EF5"/>
    <w:rsid w:val="00630FD1"/>
    <w:rsid w:val="006310AB"/>
    <w:rsid w:val="00632341"/>
    <w:rsid w:val="0063246E"/>
    <w:rsid w:val="00632CCD"/>
    <w:rsid w:val="0063377F"/>
    <w:rsid w:val="006340DB"/>
    <w:rsid w:val="0063491E"/>
    <w:rsid w:val="00634CE1"/>
    <w:rsid w:val="00635156"/>
    <w:rsid w:val="00635167"/>
    <w:rsid w:val="0063581A"/>
    <w:rsid w:val="00635C71"/>
    <w:rsid w:val="00636243"/>
    <w:rsid w:val="00637528"/>
    <w:rsid w:val="00637610"/>
    <w:rsid w:val="00637A2A"/>
    <w:rsid w:val="00640077"/>
    <w:rsid w:val="00640114"/>
    <w:rsid w:val="00640434"/>
    <w:rsid w:val="0064095D"/>
    <w:rsid w:val="006409F7"/>
    <w:rsid w:val="00640EE6"/>
    <w:rsid w:val="00640F67"/>
    <w:rsid w:val="0064109C"/>
    <w:rsid w:val="00641D5A"/>
    <w:rsid w:val="006432D2"/>
    <w:rsid w:val="00643392"/>
    <w:rsid w:val="006433C7"/>
    <w:rsid w:val="00643617"/>
    <w:rsid w:val="00643833"/>
    <w:rsid w:val="00643840"/>
    <w:rsid w:val="00643BD3"/>
    <w:rsid w:val="00644EA9"/>
    <w:rsid w:val="00645C4F"/>
    <w:rsid w:val="006462F6"/>
    <w:rsid w:val="00646BDB"/>
    <w:rsid w:val="00646D04"/>
    <w:rsid w:val="00646F97"/>
    <w:rsid w:val="00650328"/>
    <w:rsid w:val="006508D0"/>
    <w:rsid w:val="00650A1B"/>
    <w:rsid w:val="00650DDC"/>
    <w:rsid w:val="006510B8"/>
    <w:rsid w:val="006514F5"/>
    <w:rsid w:val="0065151B"/>
    <w:rsid w:val="00651ED7"/>
    <w:rsid w:val="006520B0"/>
    <w:rsid w:val="0065280B"/>
    <w:rsid w:val="00652D42"/>
    <w:rsid w:val="00652FB3"/>
    <w:rsid w:val="00652FC0"/>
    <w:rsid w:val="0065311C"/>
    <w:rsid w:val="00653DB2"/>
    <w:rsid w:val="00653E74"/>
    <w:rsid w:val="006542DE"/>
    <w:rsid w:val="0065454C"/>
    <w:rsid w:val="006549D7"/>
    <w:rsid w:val="00655CCD"/>
    <w:rsid w:val="00657096"/>
    <w:rsid w:val="006612FE"/>
    <w:rsid w:val="00661815"/>
    <w:rsid w:val="006625FC"/>
    <w:rsid w:val="00662C31"/>
    <w:rsid w:val="00663378"/>
    <w:rsid w:val="00663AB2"/>
    <w:rsid w:val="00664038"/>
    <w:rsid w:val="0066559B"/>
    <w:rsid w:val="00665A91"/>
    <w:rsid w:val="00665EAB"/>
    <w:rsid w:val="00665EC9"/>
    <w:rsid w:val="00666014"/>
    <w:rsid w:val="00666054"/>
    <w:rsid w:val="00666678"/>
    <w:rsid w:val="0066685F"/>
    <w:rsid w:val="00666C0F"/>
    <w:rsid w:val="00667006"/>
    <w:rsid w:val="0066704C"/>
    <w:rsid w:val="00667EC3"/>
    <w:rsid w:val="00667F8E"/>
    <w:rsid w:val="0067026B"/>
    <w:rsid w:val="006705F5"/>
    <w:rsid w:val="006718DA"/>
    <w:rsid w:val="00671957"/>
    <w:rsid w:val="006728C7"/>
    <w:rsid w:val="00672D62"/>
    <w:rsid w:val="0067362B"/>
    <w:rsid w:val="00673F9E"/>
    <w:rsid w:val="00674A30"/>
    <w:rsid w:val="00674D51"/>
    <w:rsid w:val="00675419"/>
    <w:rsid w:val="00675932"/>
    <w:rsid w:val="0067598A"/>
    <w:rsid w:val="00675B3B"/>
    <w:rsid w:val="00676B06"/>
    <w:rsid w:val="00676E70"/>
    <w:rsid w:val="00676E9C"/>
    <w:rsid w:val="00676F1B"/>
    <w:rsid w:val="00677138"/>
    <w:rsid w:val="00677489"/>
    <w:rsid w:val="006774AA"/>
    <w:rsid w:val="006778F2"/>
    <w:rsid w:val="00677925"/>
    <w:rsid w:val="00680F1B"/>
    <w:rsid w:val="00681216"/>
    <w:rsid w:val="0068207E"/>
    <w:rsid w:val="006832D7"/>
    <w:rsid w:val="00683D13"/>
    <w:rsid w:val="00683F32"/>
    <w:rsid w:val="006846F3"/>
    <w:rsid w:val="00684F14"/>
    <w:rsid w:val="00684FA3"/>
    <w:rsid w:val="00685146"/>
    <w:rsid w:val="0068528A"/>
    <w:rsid w:val="006859CC"/>
    <w:rsid w:val="00685A90"/>
    <w:rsid w:val="00685FE8"/>
    <w:rsid w:val="0068615C"/>
    <w:rsid w:val="006863DD"/>
    <w:rsid w:val="006868CE"/>
    <w:rsid w:val="00686E9C"/>
    <w:rsid w:val="00687442"/>
    <w:rsid w:val="006876BF"/>
    <w:rsid w:val="006879DB"/>
    <w:rsid w:val="00687B2A"/>
    <w:rsid w:val="00690E29"/>
    <w:rsid w:val="006914FE"/>
    <w:rsid w:val="00691DF4"/>
    <w:rsid w:val="006937B3"/>
    <w:rsid w:val="00693999"/>
    <w:rsid w:val="0069459C"/>
    <w:rsid w:val="00695010"/>
    <w:rsid w:val="0069546D"/>
    <w:rsid w:val="00696BDD"/>
    <w:rsid w:val="00696E26"/>
    <w:rsid w:val="00696EEA"/>
    <w:rsid w:val="0069700E"/>
    <w:rsid w:val="00697618"/>
    <w:rsid w:val="0069779F"/>
    <w:rsid w:val="00697E96"/>
    <w:rsid w:val="00697F18"/>
    <w:rsid w:val="006A0419"/>
    <w:rsid w:val="006A07A9"/>
    <w:rsid w:val="006A097A"/>
    <w:rsid w:val="006A0991"/>
    <w:rsid w:val="006A0F77"/>
    <w:rsid w:val="006A1372"/>
    <w:rsid w:val="006A1803"/>
    <w:rsid w:val="006A19EC"/>
    <w:rsid w:val="006A1EC7"/>
    <w:rsid w:val="006A1F6B"/>
    <w:rsid w:val="006A240E"/>
    <w:rsid w:val="006A2645"/>
    <w:rsid w:val="006A3818"/>
    <w:rsid w:val="006A3CD0"/>
    <w:rsid w:val="006A422B"/>
    <w:rsid w:val="006A4B44"/>
    <w:rsid w:val="006A4D45"/>
    <w:rsid w:val="006A4DAE"/>
    <w:rsid w:val="006A5039"/>
    <w:rsid w:val="006A5154"/>
    <w:rsid w:val="006A5310"/>
    <w:rsid w:val="006A5CBA"/>
    <w:rsid w:val="006A5E2A"/>
    <w:rsid w:val="006A5E35"/>
    <w:rsid w:val="006A6475"/>
    <w:rsid w:val="006A668C"/>
    <w:rsid w:val="006A6A6A"/>
    <w:rsid w:val="006A7200"/>
    <w:rsid w:val="006A73C8"/>
    <w:rsid w:val="006A7CE8"/>
    <w:rsid w:val="006B0018"/>
    <w:rsid w:val="006B0035"/>
    <w:rsid w:val="006B09FA"/>
    <w:rsid w:val="006B1120"/>
    <w:rsid w:val="006B154F"/>
    <w:rsid w:val="006B197A"/>
    <w:rsid w:val="006B2042"/>
    <w:rsid w:val="006B25FD"/>
    <w:rsid w:val="006B2716"/>
    <w:rsid w:val="006B2FC1"/>
    <w:rsid w:val="006B3577"/>
    <w:rsid w:val="006B3FAB"/>
    <w:rsid w:val="006B45EF"/>
    <w:rsid w:val="006B4889"/>
    <w:rsid w:val="006B4984"/>
    <w:rsid w:val="006B502D"/>
    <w:rsid w:val="006B54E1"/>
    <w:rsid w:val="006B57E4"/>
    <w:rsid w:val="006B5934"/>
    <w:rsid w:val="006B5A96"/>
    <w:rsid w:val="006B5AD2"/>
    <w:rsid w:val="006B5F61"/>
    <w:rsid w:val="006B628E"/>
    <w:rsid w:val="006B68B9"/>
    <w:rsid w:val="006B71E6"/>
    <w:rsid w:val="006B7489"/>
    <w:rsid w:val="006B758B"/>
    <w:rsid w:val="006B7754"/>
    <w:rsid w:val="006B7988"/>
    <w:rsid w:val="006B7C8F"/>
    <w:rsid w:val="006B7D79"/>
    <w:rsid w:val="006B7F2E"/>
    <w:rsid w:val="006C02C1"/>
    <w:rsid w:val="006C02DB"/>
    <w:rsid w:val="006C030E"/>
    <w:rsid w:val="006C05B4"/>
    <w:rsid w:val="006C0696"/>
    <w:rsid w:val="006C1998"/>
    <w:rsid w:val="006C25C1"/>
    <w:rsid w:val="006C26ED"/>
    <w:rsid w:val="006C2B41"/>
    <w:rsid w:val="006C304A"/>
    <w:rsid w:val="006C3498"/>
    <w:rsid w:val="006C3829"/>
    <w:rsid w:val="006C4A98"/>
    <w:rsid w:val="006C53C9"/>
    <w:rsid w:val="006C5495"/>
    <w:rsid w:val="006C5C02"/>
    <w:rsid w:val="006C67CF"/>
    <w:rsid w:val="006C7445"/>
    <w:rsid w:val="006C7545"/>
    <w:rsid w:val="006D036F"/>
    <w:rsid w:val="006D0A3F"/>
    <w:rsid w:val="006D1488"/>
    <w:rsid w:val="006D22A2"/>
    <w:rsid w:val="006D2990"/>
    <w:rsid w:val="006D2EA1"/>
    <w:rsid w:val="006D321A"/>
    <w:rsid w:val="006D3229"/>
    <w:rsid w:val="006D348B"/>
    <w:rsid w:val="006D3B21"/>
    <w:rsid w:val="006D446D"/>
    <w:rsid w:val="006D569E"/>
    <w:rsid w:val="006D5DC9"/>
    <w:rsid w:val="006D63E3"/>
    <w:rsid w:val="006D67C0"/>
    <w:rsid w:val="006E01A5"/>
    <w:rsid w:val="006E01E3"/>
    <w:rsid w:val="006E05A7"/>
    <w:rsid w:val="006E06CA"/>
    <w:rsid w:val="006E0945"/>
    <w:rsid w:val="006E12D3"/>
    <w:rsid w:val="006E142B"/>
    <w:rsid w:val="006E1650"/>
    <w:rsid w:val="006E19F6"/>
    <w:rsid w:val="006E2303"/>
    <w:rsid w:val="006E24A6"/>
    <w:rsid w:val="006E300A"/>
    <w:rsid w:val="006E3153"/>
    <w:rsid w:val="006E32C9"/>
    <w:rsid w:val="006E3B50"/>
    <w:rsid w:val="006E4BED"/>
    <w:rsid w:val="006E4E99"/>
    <w:rsid w:val="006E533E"/>
    <w:rsid w:val="006F0370"/>
    <w:rsid w:val="006F0731"/>
    <w:rsid w:val="006F1719"/>
    <w:rsid w:val="006F1D4A"/>
    <w:rsid w:val="006F2201"/>
    <w:rsid w:val="006F2259"/>
    <w:rsid w:val="006F2ABB"/>
    <w:rsid w:val="006F2AD6"/>
    <w:rsid w:val="006F2BAC"/>
    <w:rsid w:val="006F2BF4"/>
    <w:rsid w:val="006F2FDE"/>
    <w:rsid w:val="006F3503"/>
    <w:rsid w:val="006F3AAD"/>
    <w:rsid w:val="006F557D"/>
    <w:rsid w:val="006F582D"/>
    <w:rsid w:val="006F5C23"/>
    <w:rsid w:val="006F5EC1"/>
    <w:rsid w:val="006F615D"/>
    <w:rsid w:val="006F65B0"/>
    <w:rsid w:val="006F68D5"/>
    <w:rsid w:val="006F6976"/>
    <w:rsid w:val="006F7824"/>
    <w:rsid w:val="00700A46"/>
    <w:rsid w:val="00702277"/>
    <w:rsid w:val="0070286B"/>
    <w:rsid w:val="007030CA"/>
    <w:rsid w:val="00703827"/>
    <w:rsid w:val="00703CB6"/>
    <w:rsid w:val="007042FA"/>
    <w:rsid w:val="007043CC"/>
    <w:rsid w:val="007043E4"/>
    <w:rsid w:val="0070449B"/>
    <w:rsid w:val="007045A0"/>
    <w:rsid w:val="00704604"/>
    <w:rsid w:val="00704B81"/>
    <w:rsid w:val="00704F5F"/>
    <w:rsid w:val="0070639E"/>
    <w:rsid w:val="00706552"/>
    <w:rsid w:val="00706E06"/>
    <w:rsid w:val="007074A2"/>
    <w:rsid w:val="00710503"/>
    <w:rsid w:val="007106DC"/>
    <w:rsid w:val="0071137E"/>
    <w:rsid w:val="00711C22"/>
    <w:rsid w:val="0071216D"/>
    <w:rsid w:val="007127AA"/>
    <w:rsid w:val="00712996"/>
    <w:rsid w:val="0071330A"/>
    <w:rsid w:val="007134F4"/>
    <w:rsid w:val="00713CB4"/>
    <w:rsid w:val="007140BF"/>
    <w:rsid w:val="00715179"/>
    <w:rsid w:val="0071666E"/>
    <w:rsid w:val="00716E1C"/>
    <w:rsid w:val="00720D69"/>
    <w:rsid w:val="00720DE0"/>
    <w:rsid w:val="007212D0"/>
    <w:rsid w:val="00721754"/>
    <w:rsid w:val="00721D80"/>
    <w:rsid w:val="007227D2"/>
    <w:rsid w:val="00722C47"/>
    <w:rsid w:val="00722D36"/>
    <w:rsid w:val="00722E01"/>
    <w:rsid w:val="0072306A"/>
    <w:rsid w:val="007239F1"/>
    <w:rsid w:val="00723EDF"/>
    <w:rsid w:val="00724216"/>
    <w:rsid w:val="0072444A"/>
    <w:rsid w:val="00725216"/>
    <w:rsid w:val="0072620D"/>
    <w:rsid w:val="007268D0"/>
    <w:rsid w:val="00727F57"/>
    <w:rsid w:val="00730042"/>
    <w:rsid w:val="00730218"/>
    <w:rsid w:val="00730279"/>
    <w:rsid w:val="00730432"/>
    <w:rsid w:val="00730786"/>
    <w:rsid w:val="007309F3"/>
    <w:rsid w:val="00731152"/>
    <w:rsid w:val="0073142F"/>
    <w:rsid w:val="00731476"/>
    <w:rsid w:val="00731485"/>
    <w:rsid w:val="007314C1"/>
    <w:rsid w:val="00731B5B"/>
    <w:rsid w:val="007340C7"/>
    <w:rsid w:val="007349BF"/>
    <w:rsid w:val="00735320"/>
    <w:rsid w:val="007353B4"/>
    <w:rsid w:val="00735807"/>
    <w:rsid w:val="00735D21"/>
    <w:rsid w:val="00735F04"/>
    <w:rsid w:val="00740259"/>
    <w:rsid w:val="0074054E"/>
    <w:rsid w:val="00740672"/>
    <w:rsid w:val="0074098F"/>
    <w:rsid w:val="00740AC3"/>
    <w:rsid w:val="00743354"/>
    <w:rsid w:val="00744632"/>
    <w:rsid w:val="007448B3"/>
    <w:rsid w:val="0074570F"/>
    <w:rsid w:val="007458B7"/>
    <w:rsid w:val="007459E3"/>
    <w:rsid w:val="00745DA7"/>
    <w:rsid w:val="0074608F"/>
    <w:rsid w:val="00746BC1"/>
    <w:rsid w:val="00746CD9"/>
    <w:rsid w:val="0074758F"/>
    <w:rsid w:val="0074770E"/>
    <w:rsid w:val="0074787A"/>
    <w:rsid w:val="007478E8"/>
    <w:rsid w:val="00747DC6"/>
    <w:rsid w:val="00750055"/>
    <w:rsid w:val="00750206"/>
    <w:rsid w:val="00750915"/>
    <w:rsid w:val="00750B3F"/>
    <w:rsid w:val="00751224"/>
    <w:rsid w:val="0075183C"/>
    <w:rsid w:val="007519E5"/>
    <w:rsid w:val="0075223B"/>
    <w:rsid w:val="007539FF"/>
    <w:rsid w:val="00753CB1"/>
    <w:rsid w:val="007542D3"/>
    <w:rsid w:val="00754C34"/>
    <w:rsid w:val="00754C56"/>
    <w:rsid w:val="00754CF8"/>
    <w:rsid w:val="00754E21"/>
    <w:rsid w:val="00754F6E"/>
    <w:rsid w:val="00755339"/>
    <w:rsid w:val="00755654"/>
    <w:rsid w:val="0075583B"/>
    <w:rsid w:val="00756081"/>
    <w:rsid w:val="007566D7"/>
    <w:rsid w:val="00756B14"/>
    <w:rsid w:val="007571EF"/>
    <w:rsid w:val="007572CA"/>
    <w:rsid w:val="0075745C"/>
    <w:rsid w:val="00760DF1"/>
    <w:rsid w:val="007612CF"/>
    <w:rsid w:val="007622B4"/>
    <w:rsid w:val="00762E09"/>
    <w:rsid w:val="00763B46"/>
    <w:rsid w:val="00763E6A"/>
    <w:rsid w:val="0076521F"/>
    <w:rsid w:val="007653E4"/>
    <w:rsid w:val="00766B00"/>
    <w:rsid w:val="00766B30"/>
    <w:rsid w:val="00766C27"/>
    <w:rsid w:val="00767064"/>
    <w:rsid w:val="00767555"/>
    <w:rsid w:val="00770584"/>
    <w:rsid w:val="007709AC"/>
    <w:rsid w:val="007709FD"/>
    <w:rsid w:val="00770ADD"/>
    <w:rsid w:val="00770DC5"/>
    <w:rsid w:val="007717C5"/>
    <w:rsid w:val="0077188E"/>
    <w:rsid w:val="00771B05"/>
    <w:rsid w:val="00771C36"/>
    <w:rsid w:val="00771E20"/>
    <w:rsid w:val="00773026"/>
    <w:rsid w:val="0077358C"/>
    <w:rsid w:val="0077363A"/>
    <w:rsid w:val="007748A0"/>
    <w:rsid w:val="0077566A"/>
    <w:rsid w:val="00775C8F"/>
    <w:rsid w:val="007771E0"/>
    <w:rsid w:val="00777321"/>
    <w:rsid w:val="007773A0"/>
    <w:rsid w:val="00777D0F"/>
    <w:rsid w:val="0078251C"/>
    <w:rsid w:val="007828B2"/>
    <w:rsid w:val="00783186"/>
    <w:rsid w:val="00783258"/>
    <w:rsid w:val="0078371D"/>
    <w:rsid w:val="00783A10"/>
    <w:rsid w:val="00783A47"/>
    <w:rsid w:val="00783B53"/>
    <w:rsid w:val="00784252"/>
    <w:rsid w:val="007844D6"/>
    <w:rsid w:val="007845B5"/>
    <w:rsid w:val="007849AE"/>
    <w:rsid w:val="00784D99"/>
    <w:rsid w:val="0078518C"/>
    <w:rsid w:val="00785262"/>
    <w:rsid w:val="007859B4"/>
    <w:rsid w:val="00785B7E"/>
    <w:rsid w:val="00786B9D"/>
    <w:rsid w:val="00787954"/>
    <w:rsid w:val="00787A8A"/>
    <w:rsid w:val="0079066D"/>
    <w:rsid w:val="00790768"/>
    <w:rsid w:val="007907E8"/>
    <w:rsid w:val="0079087A"/>
    <w:rsid w:val="00790C45"/>
    <w:rsid w:val="00790DC2"/>
    <w:rsid w:val="00790EC5"/>
    <w:rsid w:val="00791568"/>
    <w:rsid w:val="00791738"/>
    <w:rsid w:val="007921D1"/>
    <w:rsid w:val="007930F0"/>
    <w:rsid w:val="00793233"/>
    <w:rsid w:val="00794286"/>
    <w:rsid w:val="0079432D"/>
    <w:rsid w:val="00794C2D"/>
    <w:rsid w:val="0079556A"/>
    <w:rsid w:val="00795A17"/>
    <w:rsid w:val="007961A7"/>
    <w:rsid w:val="0079733D"/>
    <w:rsid w:val="0079776A"/>
    <w:rsid w:val="007977F3"/>
    <w:rsid w:val="00797A72"/>
    <w:rsid w:val="00797BFB"/>
    <w:rsid w:val="00797C9C"/>
    <w:rsid w:val="00797CC5"/>
    <w:rsid w:val="007A075B"/>
    <w:rsid w:val="007A08EC"/>
    <w:rsid w:val="007A0FA4"/>
    <w:rsid w:val="007A1206"/>
    <w:rsid w:val="007A12AD"/>
    <w:rsid w:val="007A13F6"/>
    <w:rsid w:val="007A151E"/>
    <w:rsid w:val="007A1F59"/>
    <w:rsid w:val="007A36AF"/>
    <w:rsid w:val="007A3728"/>
    <w:rsid w:val="007A4531"/>
    <w:rsid w:val="007A4C57"/>
    <w:rsid w:val="007A4D1E"/>
    <w:rsid w:val="007A5936"/>
    <w:rsid w:val="007A5BD8"/>
    <w:rsid w:val="007A6381"/>
    <w:rsid w:val="007A75EF"/>
    <w:rsid w:val="007A77A9"/>
    <w:rsid w:val="007A77CA"/>
    <w:rsid w:val="007B0085"/>
    <w:rsid w:val="007B0432"/>
    <w:rsid w:val="007B0BD5"/>
    <w:rsid w:val="007B1402"/>
    <w:rsid w:val="007B27DF"/>
    <w:rsid w:val="007B2AA7"/>
    <w:rsid w:val="007B316F"/>
    <w:rsid w:val="007B3426"/>
    <w:rsid w:val="007B4496"/>
    <w:rsid w:val="007B4E59"/>
    <w:rsid w:val="007B5B70"/>
    <w:rsid w:val="007B5BDE"/>
    <w:rsid w:val="007B5CB0"/>
    <w:rsid w:val="007B5E4B"/>
    <w:rsid w:val="007B63BD"/>
    <w:rsid w:val="007B6C6F"/>
    <w:rsid w:val="007B7046"/>
    <w:rsid w:val="007B74A7"/>
    <w:rsid w:val="007B77B6"/>
    <w:rsid w:val="007B79A0"/>
    <w:rsid w:val="007B7E9F"/>
    <w:rsid w:val="007C02A2"/>
    <w:rsid w:val="007C0607"/>
    <w:rsid w:val="007C0D55"/>
    <w:rsid w:val="007C14FE"/>
    <w:rsid w:val="007C2A67"/>
    <w:rsid w:val="007C3262"/>
    <w:rsid w:val="007C32B2"/>
    <w:rsid w:val="007C55F9"/>
    <w:rsid w:val="007C604D"/>
    <w:rsid w:val="007C7195"/>
    <w:rsid w:val="007D05E6"/>
    <w:rsid w:val="007D12EE"/>
    <w:rsid w:val="007D158C"/>
    <w:rsid w:val="007D1A2F"/>
    <w:rsid w:val="007D2162"/>
    <w:rsid w:val="007D2E23"/>
    <w:rsid w:val="007D3379"/>
    <w:rsid w:val="007D3BE0"/>
    <w:rsid w:val="007D4E8B"/>
    <w:rsid w:val="007D4F1C"/>
    <w:rsid w:val="007D543D"/>
    <w:rsid w:val="007D5521"/>
    <w:rsid w:val="007D5754"/>
    <w:rsid w:val="007D6319"/>
    <w:rsid w:val="007D6333"/>
    <w:rsid w:val="007D642A"/>
    <w:rsid w:val="007D66BB"/>
    <w:rsid w:val="007E022F"/>
    <w:rsid w:val="007E0889"/>
    <w:rsid w:val="007E0E8A"/>
    <w:rsid w:val="007E1074"/>
    <w:rsid w:val="007E1B68"/>
    <w:rsid w:val="007E1DF4"/>
    <w:rsid w:val="007E1E6B"/>
    <w:rsid w:val="007E251A"/>
    <w:rsid w:val="007E266F"/>
    <w:rsid w:val="007E27F1"/>
    <w:rsid w:val="007E3072"/>
    <w:rsid w:val="007E33A2"/>
    <w:rsid w:val="007E375B"/>
    <w:rsid w:val="007E378A"/>
    <w:rsid w:val="007E48B2"/>
    <w:rsid w:val="007E4B10"/>
    <w:rsid w:val="007E4B78"/>
    <w:rsid w:val="007E4DBE"/>
    <w:rsid w:val="007E574B"/>
    <w:rsid w:val="007E6040"/>
    <w:rsid w:val="007E658D"/>
    <w:rsid w:val="007E6E67"/>
    <w:rsid w:val="007E7486"/>
    <w:rsid w:val="007E7BDE"/>
    <w:rsid w:val="007F07F9"/>
    <w:rsid w:val="007F0F20"/>
    <w:rsid w:val="007F0F5B"/>
    <w:rsid w:val="007F14EA"/>
    <w:rsid w:val="007F15FD"/>
    <w:rsid w:val="007F1A00"/>
    <w:rsid w:val="007F2136"/>
    <w:rsid w:val="007F226C"/>
    <w:rsid w:val="007F35F4"/>
    <w:rsid w:val="007F3C9F"/>
    <w:rsid w:val="007F438F"/>
    <w:rsid w:val="007F44E7"/>
    <w:rsid w:val="007F4690"/>
    <w:rsid w:val="007F4A37"/>
    <w:rsid w:val="007F4CE2"/>
    <w:rsid w:val="007F508F"/>
    <w:rsid w:val="007F51DE"/>
    <w:rsid w:val="007F5281"/>
    <w:rsid w:val="007F55CA"/>
    <w:rsid w:val="007F5D76"/>
    <w:rsid w:val="007F5F4D"/>
    <w:rsid w:val="007F620C"/>
    <w:rsid w:val="007F6565"/>
    <w:rsid w:val="007F6733"/>
    <w:rsid w:val="007F69BE"/>
    <w:rsid w:val="007F6F1A"/>
    <w:rsid w:val="007F7500"/>
    <w:rsid w:val="007F7E44"/>
    <w:rsid w:val="0080099D"/>
    <w:rsid w:val="00801588"/>
    <w:rsid w:val="00801938"/>
    <w:rsid w:val="00801970"/>
    <w:rsid w:val="00801BB4"/>
    <w:rsid w:val="00801C27"/>
    <w:rsid w:val="00802011"/>
    <w:rsid w:val="00802655"/>
    <w:rsid w:val="00805198"/>
    <w:rsid w:val="00806196"/>
    <w:rsid w:val="00806445"/>
    <w:rsid w:val="008064A2"/>
    <w:rsid w:val="008074C3"/>
    <w:rsid w:val="00807696"/>
    <w:rsid w:val="00810097"/>
    <w:rsid w:val="008105C1"/>
    <w:rsid w:val="00810DAC"/>
    <w:rsid w:val="0081156B"/>
    <w:rsid w:val="008116B0"/>
    <w:rsid w:val="00811A93"/>
    <w:rsid w:val="008122A4"/>
    <w:rsid w:val="0081248D"/>
    <w:rsid w:val="008127E3"/>
    <w:rsid w:val="00812C94"/>
    <w:rsid w:val="00813016"/>
    <w:rsid w:val="00813146"/>
    <w:rsid w:val="00813D2E"/>
    <w:rsid w:val="00813D35"/>
    <w:rsid w:val="00813DF1"/>
    <w:rsid w:val="00814418"/>
    <w:rsid w:val="00814646"/>
    <w:rsid w:val="00814836"/>
    <w:rsid w:val="00814884"/>
    <w:rsid w:val="00814CA3"/>
    <w:rsid w:val="008153F8"/>
    <w:rsid w:val="00816F63"/>
    <w:rsid w:val="00817100"/>
    <w:rsid w:val="00817311"/>
    <w:rsid w:val="008173D0"/>
    <w:rsid w:val="0082009C"/>
    <w:rsid w:val="0082089B"/>
    <w:rsid w:val="008210B2"/>
    <w:rsid w:val="0082186C"/>
    <w:rsid w:val="00821B27"/>
    <w:rsid w:val="00823186"/>
    <w:rsid w:val="00824024"/>
    <w:rsid w:val="0082436F"/>
    <w:rsid w:val="008249CC"/>
    <w:rsid w:val="00824DF2"/>
    <w:rsid w:val="0082520D"/>
    <w:rsid w:val="0082589A"/>
    <w:rsid w:val="00825936"/>
    <w:rsid w:val="00825D9D"/>
    <w:rsid w:val="00826BEC"/>
    <w:rsid w:val="00826C04"/>
    <w:rsid w:val="00826EF8"/>
    <w:rsid w:val="008271FF"/>
    <w:rsid w:val="00827312"/>
    <w:rsid w:val="00827833"/>
    <w:rsid w:val="00827C9C"/>
    <w:rsid w:val="00827FED"/>
    <w:rsid w:val="0083076B"/>
    <w:rsid w:val="0083086D"/>
    <w:rsid w:val="00830977"/>
    <w:rsid w:val="00831BC3"/>
    <w:rsid w:val="00831D08"/>
    <w:rsid w:val="00832100"/>
    <w:rsid w:val="008322D0"/>
    <w:rsid w:val="008326DD"/>
    <w:rsid w:val="00832776"/>
    <w:rsid w:val="008328AF"/>
    <w:rsid w:val="008328D4"/>
    <w:rsid w:val="008330FF"/>
    <w:rsid w:val="00833728"/>
    <w:rsid w:val="00834A42"/>
    <w:rsid w:val="00835615"/>
    <w:rsid w:val="008357EE"/>
    <w:rsid w:val="00835E58"/>
    <w:rsid w:val="0083614F"/>
    <w:rsid w:val="0083672C"/>
    <w:rsid w:val="00836F65"/>
    <w:rsid w:val="008373F6"/>
    <w:rsid w:val="008375AF"/>
    <w:rsid w:val="00837963"/>
    <w:rsid w:val="008379F7"/>
    <w:rsid w:val="00837FC1"/>
    <w:rsid w:val="00840537"/>
    <w:rsid w:val="00840E9B"/>
    <w:rsid w:val="00840ECE"/>
    <w:rsid w:val="00841084"/>
    <w:rsid w:val="00841577"/>
    <w:rsid w:val="008415A7"/>
    <w:rsid w:val="0084185C"/>
    <w:rsid w:val="00841B6B"/>
    <w:rsid w:val="00842165"/>
    <w:rsid w:val="008423A3"/>
    <w:rsid w:val="00842B44"/>
    <w:rsid w:val="0084335E"/>
    <w:rsid w:val="008438C7"/>
    <w:rsid w:val="0084391D"/>
    <w:rsid w:val="00844383"/>
    <w:rsid w:val="008446DE"/>
    <w:rsid w:val="00844978"/>
    <w:rsid w:val="00845A7E"/>
    <w:rsid w:val="00845E9C"/>
    <w:rsid w:val="008466F5"/>
    <w:rsid w:val="00846ADE"/>
    <w:rsid w:val="00846C23"/>
    <w:rsid w:val="00846CDD"/>
    <w:rsid w:val="00846F8E"/>
    <w:rsid w:val="0084779B"/>
    <w:rsid w:val="008477AE"/>
    <w:rsid w:val="0085028E"/>
    <w:rsid w:val="00850376"/>
    <w:rsid w:val="00850630"/>
    <w:rsid w:val="008507FF"/>
    <w:rsid w:val="0085112E"/>
    <w:rsid w:val="008516FD"/>
    <w:rsid w:val="00851A04"/>
    <w:rsid w:val="00851F17"/>
    <w:rsid w:val="0085296E"/>
    <w:rsid w:val="00852C66"/>
    <w:rsid w:val="0085336C"/>
    <w:rsid w:val="00854016"/>
    <w:rsid w:val="00854101"/>
    <w:rsid w:val="0085425E"/>
    <w:rsid w:val="00854292"/>
    <w:rsid w:val="008544F0"/>
    <w:rsid w:val="00854DE7"/>
    <w:rsid w:val="00854E53"/>
    <w:rsid w:val="0085524C"/>
    <w:rsid w:val="00855770"/>
    <w:rsid w:val="0085626A"/>
    <w:rsid w:val="00856451"/>
    <w:rsid w:val="00856864"/>
    <w:rsid w:val="00857909"/>
    <w:rsid w:val="00857E59"/>
    <w:rsid w:val="00860573"/>
    <w:rsid w:val="008608A2"/>
    <w:rsid w:val="008610AD"/>
    <w:rsid w:val="00861294"/>
    <w:rsid w:val="008612F3"/>
    <w:rsid w:val="008619F7"/>
    <w:rsid w:val="00861A07"/>
    <w:rsid w:val="00861B89"/>
    <w:rsid w:val="00862205"/>
    <w:rsid w:val="00862430"/>
    <w:rsid w:val="008625C1"/>
    <w:rsid w:val="0086278D"/>
    <w:rsid w:val="008636DF"/>
    <w:rsid w:val="00863732"/>
    <w:rsid w:val="00863945"/>
    <w:rsid w:val="00863E24"/>
    <w:rsid w:val="0086407D"/>
    <w:rsid w:val="008642F6"/>
    <w:rsid w:val="008659A5"/>
    <w:rsid w:val="00866A5C"/>
    <w:rsid w:val="00866C38"/>
    <w:rsid w:val="00866D1F"/>
    <w:rsid w:val="008678D2"/>
    <w:rsid w:val="00867D0B"/>
    <w:rsid w:val="008707A4"/>
    <w:rsid w:val="00870D4E"/>
    <w:rsid w:val="00870D86"/>
    <w:rsid w:val="0087194F"/>
    <w:rsid w:val="00871A63"/>
    <w:rsid w:val="00871A98"/>
    <w:rsid w:val="00871EE5"/>
    <w:rsid w:val="0087267E"/>
    <w:rsid w:val="00873048"/>
    <w:rsid w:val="008732C4"/>
    <w:rsid w:val="0087354A"/>
    <w:rsid w:val="008743F8"/>
    <w:rsid w:val="008752CA"/>
    <w:rsid w:val="00876D10"/>
    <w:rsid w:val="008804E9"/>
    <w:rsid w:val="008804F8"/>
    <w:rsid w:val="00880D24"/>
    <w:rsid w:val="00880F69"/>
    <w:rsid w:val="0088145B"/>
    <w:rsid w:val="008816E4"/>
    <w:rsid w:val="00881CEF"/>
    <w:rsid w:val="00881E04"/>
    <w:rsid w:val="00881F7B"/>
    <w:rsid w:val="008821E6"/>
    <w:rsid w:val="008824C6"/>
    <w:rsid w:val="0088321F"/>
    <w:rsid w:val="00883AAF"/>
    <w:rsid w:val="00883E7A"/>
    <w:rsid w:val="00884DEC"/>
    <w:rsid w:val="00884EC6"/>
    <w:rsid w:val="0088522B"/>
    <w:rsid w:val="00885E34"/>
    <w:rsid w:val="0088648A"/>
    <w:rsid w:val="00887496"/>
    <w:rsid w:val="00887DAF"/>
    <w:rsid w:val="00890012"/>
    <w:rsid w:val="00891BD6"/>
    <w:rsid w:val="00891BF4"/>
    <w:rsid w:val="00892307"/>
    <w:rsid w:val="00892583"/>
    <w:rsid w:val="008927B9"/>
    <w:rsid w:val="0089323A"/>
    <w:rsid w:val="0089369F"/>
    <w:rsid w:val="008936B1"/>
    <w:rsid w:val="008939ED"/>
    <w:rsid w:val="00893A9E"/>
    <w:rsid w:val="00893F85"/>
    <w:rsid w:val="00894526"/>
    <w:rsid w:val="0089517B"/>
    <w:rsid w:val="00895B28"/>
    <w:rsid w:val="00895E61"/>
    <w:rsid w:val="008968C4"/>
    <w:rsid w:val="008969AC"/>
    <w:rsid w:val="00896B1E"/>
    <w:rsid w:val="00896B5A"/>
    <w:rsid w:val="00897203"/>
    <w:rsid w:val="008973BF"/>
    <w:rsid w:val="008A0C7C"/>
    <w:rsid w:val="008A13E7"/>
    <w:rsid w:val="008A156D"/>
    <w:rsid w:val="008A168A"/>
    <w:rsid w:val="008A1B37"/>
    <w:rsid w:val="008A26A9"/>
    <w:rsid w:val="008A2C58"/>
    <w:rsid w:val="008A2F53"/>
    <w:rsid w:val="008A4649"/>
    <w:rsid w:val="008A49F8"/>
    <w:rsid w:val="008A4D16"/>
    <w:rsid w:val="008A4EFF"/>
    <w:rsid w:val="008A5D79"/>
    <w:rsid w:val="008A5FFB"/>
    <w:rsid w:val="008A64A3"/>
    <w:rsid w:val="008A6C37"/>
    <w:rsid w:val="008A6D16"/>
    <w:rsid w:val="008A7F31"/>
    <w:rsid w:val="008B07D0"/>
    <w:rsid w:val="008B0C5E"/>
    <w:rsid w:val="008B14F3"/>
    <w:rsid w:val="008B17F4"/>
    <w:rsid w:val="008B1868"/>
    <w:rsid w:val="008B275F"/>
    <w:rsid w:val="008B2783"/>
    <w:rsid w:val="008B27A5"/>
    <w:rsid w:val="008B2D79"/>
    <w:rsid w:val="008B3170"/>
    <w:rsid w:val="008B3438"/>
    <w:rsid w:val="008B344E"/>
    <w:rsid w:val="008B3AD3"/>
    <w:rsid w:val="008B4069"/>
    <w:rsid w:val="008B4171"/>
    <w:rsid w:val="008B4313"/>
    <w:rsid w:val="008B4A4F"/>
    <w:rsid w:val="008B5439"/>
    <w:rsid w:val="008B5757"/>
    <w:rsid w:val="008B58D8"/>
    <w:rsid w:val="008B5E1F"/>
    <w:rsid w:val="008B616A"/>
    <w:rsid w:val="008B6BEA"/>
    <w:rsid w:val="008B737E"/>
    <w:rsid w:val="008B79B6"/>
    <w:rsid w:val="008B7F1E"/>
    <w:rsid w:val="008C03B7"/>
    <w:rsid w:val="008C04B8"/>
    <w:rsid w:val="008C0CD6"/>
    <w:rsid w:val="008C123E"/>
    <w:rsid w:val="008C12AB"/>
    <w:rsid w:val="008C149C"/>
    <w:rsid w:val="008C252B"/>
    <w:rsid w:val="008C2A1D"/>
    <w:rsid w:val="008C336F"/>
    <w:rsid w:val="008C3508"/>
    <w:rsid w:val="008C37B1"/>
    <w:rsid w:val="008C3CD8"/>
    <w:rsid w:val="008C4483"/>
    <w:rsid w:val="008C5593"/>
    <w:rsid w:val="008C628D"/>
    <w:rsid w:val="008C67AA"/>
    <w:rsid w:val="008C686D"/>
    <w:rsid w:val="008C7692"/>
    <w:rsid w:val="008C7B29"/>
    <w:rsid w:val="008D00DB"/>
    <w:rsid w:val="008D0822"/>
    <w:rsid w:val="008D0BF1"/>
    <w:rsid w:val="008D1829"/>
    <w:rsid w:val="008D24BF"/>
    <w:rsid w:val="008D316F"/>
    <w:rsid w:val="008D31BF"/>
    <w:rsid w:val="008D3ADE"/>
    <w:rsid w:val="008D4F76"/>
    <w:rsid w:val="008D5C40"/>
    <w:rsid w:val="008D5D22"/>
    <w:rsid w:val="008D5DAA"/>
    <w:rsid w:val="008D5EB9"/>
    <w:rsid w:val="008D6639"/>
    <w:rsid w:val="008D6FC9"/>
    <w:rsid w:val="008D727A"/>
    <w:rsid w:val="008D779C"/>
    <w:rsid w:val="008D7E3D"/>
    <w:rsid w:val="008E0704"/>
    <w:rsid w:val="008E089E"/>
    <w:rsid w:val="008E0AA9"/>
    <w:rsid w:val="008E0AEE"/>
    <w:rsid w:val="008E0C88"/>
    <w:rsid w:val="008E161F"/>
    <w:rsid w:val="008E22C8"/>
    <w:rsid w:val="008E29B1"/>
    <w:rsid w:val="008E2D51"/>
    <w:rsid w:val="008E2DC3"/>
    <w:rsid w:val="008E3CC0"/>
    <w:rsid w:val="008E3F92"/>
    <w:rsid w:val="008E4ABE"/>
    <w:rsid w:val="008E5E26"/>
    <w:rsid w:val="008F0C6C"/>
    <w:rsid w:val="008F0C7F"/>
    <w:rsid w:val="008F125A"/>
    <w:rsid w:val="008F1595"/>
    <w:rsid w:val="008F18CC"/>
    <w:rsid w:val="008F1E64"/>
    <w:rsid w:val="008F21C4"/>
    <w:rsid w:val="008F230A"/>
    <w:rsid w:val="008F2EB2"/>
    <w:rsid w:val="008F3106"/>
    <w:rsid w:val="008F3C6D"/>
    <w:rsid w:val="008F3D6C"/>
    <w:rsid w:val="008F3F43"/>
    <w:rsid w:val="008F4686"/>
    <w:rsid w:val="008F4A63"/>
    <w:rsid w:val="008F5236"/>
    <w:rsid w:val="008F5362"/>
    <w:rsid w:val="008F54E0"/>
    <w:rsid w:val="008F555D"/>
    <w:rsid w:val="008F5BF8"/>
    <w:rsid w:val="008F5EA7"/>
    <w:rsid w:val="008F5EBC"/>
    <w:rsid w:val="008F6038"/>
    <w:rsid w:val="008F702B"/>
    <w:rsid w:val="008F7342"/>
    <w:rsid w:val="008F7639"/>
    <w:rsid w:val="008F7A6E"/>
    <w:rsid w:val="008F7DE9"/>
    <w:rsid w:val="00900462"/>
    <w:rsid w:val="00900F9F"/>
    <w:rsid w:val="00900FCF"/>
    <w:rsid w:val="00901295"/>
    <w:rsid w:val="009016F8"/>
    <w:rsid w:val="0090198D"/>
    <w:rsid w:val="00901BBF"/>
    <w:rsid w:val="00901C1F"/>
    <w:rsid w:val="00901CCC"/>
    <w:rsid w:val="009020F6"/>
    <w:rsid w:val="00902594"/>
    <w:rsid w:val="009030D6"/>
    <w:rsid w:val="009031BA"/>
    <w:rsid w:val="0090358E"/>
    <w:rsid w:val="009035B5"/>
    <w:rsid w:val="0090373F"/>
    <w:rsid w:val="00903C10"/>
    <w:rsid w:val="0090441B"/>
    <w:rsid w:val="00904522"/>
    <w:rsid w:val="009057E5"/>
    <w:rsid w:val="00905BC8"/>
    <w:rsid w:val="00906CAA"/>
    <w:rsid w:val="00907878"/>
    <w:rsid w:val="00907D14"/>
    <w:rsid w:val="00907DD0"/>
    <w:rsid w:val="00907F92"/>
    <w:rsid w:val="00907FDA"/>
    <w:rsid w:val="0091078E"/>
    <w:rsid w:val="00911245"/>
    <w:rsid w:val="009114C5"/>
    <w:rsid w:val="009120AB"/>
    <w:rsid w:val="009122A3"/>
    <w:rsid w:val="00912E2A"/>
    <w:rsid w:val="00912E7A"/>
    <w:rsid w:val="0091355A"/>
    <w:rsid w:val="00913AB1"/>
    <w:rsid w:val="00913D34"/>
    <w:rsid w:val="00913D96"/>
    <w:rsid w:val="00913FDD"/>
    <w:rsid w:val="009144E9"/>
    <w:rsid w:val="0091451D"/>
    <w:rsid w:val="009149C3"/>
    <w:rsid w:val="00914EBE"/>
    <w:rsid w:val="009155B6"/>
    <w:rsid w:val="00915F3C"/>
    <w:rsid w:val="00916811"/>
    <w:rsid w:val="00916C9D"/>
    <w:rsid w:val="0091719B"/>
    <w:rsid w:val="00917712"/>
    <w:rsid w:val="0091790C"/>
    <w:rsid w:val="00917B20"/>
    <w:rsid w:val="00920247"/>
    <w:rsid w:val="00920B72"/>
    <w:rsid w:val="0092110D"/>
    <w:rsid w:val="00922437"/>
    <w:rsid w:val="009224A8"/>
    <w:rsid w:val="009224C5"/>
    <w:rsid w:val="00922674"/>
    <w:rsid w:val="00922836"/>
    <w:rsid w:val="009230E3"/>
    <w:rsid w:val="009230F3"/>
    <w:rsid w:val="00923ABE"/>
    <w:rsid w:val="00923EF7"/>
    <w:rsid w:val="0092579C"/>
    <w:rsid w:val="009258DD"/>
    <w:rsid w:val="00925BCF"/>
    <w:rsid w:val="00925F01"/>
    <w:rsid w:val="00925F7A"/>
    <w:rsid w:val="009262CB"/>
    <w:rsid w:val="00926C05"/>
    <w:rsid w:val="00926E39"/>
    <w:rsid w:val="009270BE"/>
    <w:rsid w:val="009271D4"/>
    <w:rsid w:val="00927964"/>
    <w:rsid w:val="009307A7"/>
    <w:rsid w:val="00930C64"/>
    <w:rsid w:val="00930F62"/>
    <w:rsid w:val="0093189C"/>
    <w:rsid w:val="009320F8"/>
    <w:rsid w:val="00932410"/>
    <w:rsid w:val="00932732"/>
    <w:rsid w:val="0093306F"/>
    <w:rsid w:val="0093334E"/>
    <w:rsid w:val="00933372"/>
    <w:rsid w:val="00933A4C"/>
    <w:rsid w:val="00934283"/>
    <w:rsid w:val="00934347"/>
    <w:rsid w:val="00934358"/>
    <w:rsid w:val="0093489A"/>
    <w:rsid w:val="00934FAA"/>
    <w:rsid w:val="0093528F"/>
    <w:rsid w:val="009357FA"/>
    <w:rsid w:val="00940027"/>
    <w:rsid w:val="00940258"/>
    <w:rsid w:val="009402AE"/>
    <w:rsid w:val="00940B07"/>
    <w:rsid w:val="00940F6E"/>
    <w:rsid w:val="00941FBD"/>
    <w:rsid w:val="00942651"/>
    <w:rsid w:val="00942F8F"/>
    <w:rsid w:val="0094323F"/>
    <w:rsid w:val="0094384D"/>
    <w:rsid w:val="0094385E"/>
    <w:rsid w:val="00943D4A"/>
    <w:rsid w:val="00943E51"/>
    <w:rsid w:val="00944638"/>
    <w:rsid w:val="009447D6"/>
    <w:rsid w:val="009449CA"/>
    <w:rsid w:val="00944DA2"/>
    <w:rsid w:val="0094508C"/>
    <w:rsid w:val="009461EB"/>
    <w:rsid w:val="0094624E"/>
    <w:rsid w:val="009467DD"/>
    <w:rsid w:val="00946E23"/>
    <w:rsid w:val="00947AB2"/>
    <w:rsid w:val="00947C05"/>
    <w:rsid w:val="00947C35"/>
    <w:rsid w:val="00947F12"/>
    <w:rsid w:val="00950631"/>
    <w:rsid w:val="009509EC"/>
    <w:rsid w:val="00950AB6"/>
    <w:rsid w:val="009510A4"/>
    <w:rsid w:val="00951CA8"/>
    <w:rsid w:val="0095253F"/>
    <w:rsid w:val="009526E2"/>
    <w:rsid w:val="0095374A"/>
    <w:rsid w:val="0095388C"/>
    <w:rsid w:val="00953B3D"/>
    <w:rsid w:val="009542B9"/>
    <w:rsid w:val="009548EE"/>
    <w:rsid w:val="00954987"/>
    <w:rsid w:val="00954DDE"/>
    <w:rsid w:val="00954F81"/>
    <w:rsid w:val="00955A5B"/>
    <w:rsid w:val="00955DF7"/>
    <w:rsid w:val="00956AD2"/>
    <w:rsid w:val="0095700B"/>
    <w:rsid w:val="00957942"/>
    <w:rsid w:val="00957B20"/>
    <w:rsid w:val="00957BD7"/>
    <w:rsid w:val="0096093B"/>
    <w:rsid w:val="009609C8"/>
    <w:rsid w:val="0096150A"/>
    <w:rsid w:val="00961A5B"/>
    <w:rsid w:val="0096222F"/>
    <w:rsid w:val="009623D1"/>
    <w:rsid w:val="009623D8"/>
    <w:rsid w:val="0096260F"/>
    <w:rsid w:val="00962EB8"/>
    <w:rsid w:val="0096338A"/>
    <w:rsid w:val="00963A42"/>
    <w:rsid w:val="00963B64"/>
    <w:rsid w:val="00963D1D"/>
    <w:rsid w:val="00964301"/>
    <w:rsid w:val="009645ED"/>
    <w:rsid w:val="00964759"/>
    <w:rsid w:val="00964F63"/>
    <w:rsid w:val="00965C56"/>
    <w:rsid w:val="009670B3"/>
    <w:rsid w:val="00967127"/>
    <w:rsid w:val="009672D6"/>
    <w:rsid w:val="009675AC"/>
    <w:rsid w:val="009679D9"/>
    <w:rsid w:val="00967E87"/>
    <w:rsid w:val="00970073"/>
    <w:rsid w:val="0097059C"/>
    <w:rsid w:val="00970706"/>
    <w:rsid w:val="00970761"/>
    <w:rsid w:val="00970E68"/>
    <w:rsid w:val="00971438"/>
    <w:rsid w:val="00971A89"/>
    <w:rsid w:val="009727EF"/>
    <w:rsid w:val="00973F53"/>
    <w:rsid w:val="00974CB0"/>
    <w:rsid w:val="00974FBD"/>
    <w:rsid w:val="00976C1B"/>
    <w:rsid w:val="0097705F"/>
    <w:rsid w:val="009772E7"/>
    <w:rsid w:val="009801A7"/>
    <w:rsid w:val="00980EB3"/>
    <w:rsid w:val="00980F60"/>
    <w:rsid w:val="009811D5"/>
    <w:rsid w:val="0098183D"/>
    <w:rsid w:val="00981C0C"/>
    <w:rsid w:val="00981D48"/>
    <w:rsid w:val="00981E0A"/>
    <w:rsid w:val="00982428"/>
    <w:rsid w:val="00982CF2"/>
    <w:rsid w:val="00984612"/>
    <w:rsid w:val="00984A98"/>
    <w:rsid w:val="00985025"/>
    <w:rsid w:val="0098519C"/>
    <w:rsid w:val="00985E8C"/>
    <w:rsid w:val="00986354"/>
    <w:rsid w:val="00987581"/>
    <w:rsid w:val="00987701"/>
    <w:rsid w:val="00987727"/>
    <w:rsid w:val="00987D16"/>
    <w:rsid w:val="0099023A"/>
    <w:rsid w:val="0099052C"/>
    <w:rsid w:val="009905F0"/>
    <w:rsid w:val="00990ACA"/>
    <w:rsid w:val="00990B3A"/>
    <w:rsid w:val="00991EF1"/>
    <w:rsid w:val="00991F7A"/>
    <w:rsid w:val="00992458"/>
    <w:rsid w:val="00992634"/>
    <w:rsid w:val="00993147"/>
    <w:rsid w:val="00993314"/>
    <w:rsid w:val="009935A6"/>
    <w:rsid w:val="009939D1"/>
    <w:rsid w:val="00993AF8"/>
    <w:rsid w:val="00993CA1"/>
    <w:rsid w:val="0099436E"/>
    <w:rsid w:val="009949A0"/>
    <w:rsid w:val="00995161"/>
    <w:rsid w:val="0099529E"/>
    <w:rsid w:val="00995C1F"/>
    <w:rsid w:val="00996191"/>
    <w:rsid w:val="0099625D"/>
    <w:rsid w:val="009966B6"/>
    <w:rsid w:val="00996BD8"/>
    <w:rsid w:val="009977ED"/>
    <w:rsid w:val="009A00F7"/>
    <w:rsid w:val="009A03FB"/>
    <w:rsid w:val="009A07E0"/>
    <w:rsid w:val="009A0849"/>
    <w:rsid w:val="009A0913"/>
    <w:rsid w:val="009A0D0E"/>
    <w:rsid w:val="009A1185"/>
    <w:rsid w:val="009A15FA"/>
    <w:rsid w:val="009A1670"/>
    <w:rsid w:val="009A1B13"/>
    <w:rsid w:val="009A25D3"/>
    <w:rsid w:val="009A33C4"/>
    <w:rsid w:val="009A34D6"/>
    <w:rsid w:val="009A3976"/>
    <w:rsid w:val="009A422A"/>
    <w:rsid w:val="009A45B5"/>
    <w:rsid w:val="009A4C2F"/>
    <w:rsid w:val="009A523F"/>
    <w:rsid w:val="009A5435"/>
    <w:rsid w:val="009A5DFC"/>
    <w:rsid w:val="009A60E5"/>
    <w:rsid w:val="009A6398"/>
    <w:rsid w:val="009A6C6D"/>
    <w:rsid w:val="009A710C"/>
    <w:rsid w:val="009A78DA"/>
    <w:rsid w:val="009B0296"/>
    <w:rsid w:val="009B1225"/>
    <w:rsid w:val="009B12B1"/>
    <w:rsid w:val="009B16C4"/>
    <w:rsid w:val="009B17F6"/>
    <w:rsid w:val="009B19C1"/>
    <w:rsid w:val="009B1B9C"/>
    <w:rsid w:val="009B2438"/>
    <w:rsid w:val="009B252D"/>
    <w:rsid w:val="009B3A97"/>
    <w:rsid w:val="009B4F91"/>
    <w:rsid w:val="009B509E"/>
    <w:rsid w:val="009B5DCE"/>
    <w:rsid w:val="009B5F7E"/>
    <w:rsid w:val="009B6022"/>
    <w:rsid w:val="009B614D"/>
    <w:rsid w:val="009B61DB"/>
    <w:rsid w:val="009B6914"/>
    <w:rsid w:val="009B69B3"/>
    <w:rsid w:val="009B6ACF"/>
    <w:rsid w:val="009B710A"/>
    <w:rsid w:val="009B7275"/>
    <w:rsid w:val="009B77C0"/>
    <w:rsid w:val="009B7B3E"/>
    <w:rsid w:val="009B7D81"/>
    <w:rsid w:val="009C0B33"/>
    <w:rsid w:val="009C0FFC"/>
    <w:rsid w:val="009C15A7"/>
    <w:rsid w:val="009C15DD"/>
    <w:rsid w:val="009C19C8"/>
    <w:rsid w:val="009C215C"/>
    <w:rsid w:val="009C3170"/>
    <w:rsid w:val="009C3203"/>
    <w:rsid w:val="009C355C"/>
    <w:rsid w:val="009C3A84"/>
    <w:rsid w:val="009C4BA2"/>
    <w:rsid w:val="009C4F42"/>
    <w:rsid w:val="009C4F7E"/>
    <w:rsid w:val="009C5005"/>
    <w:rsid w:val="009C5740"/>
    <w:rsid w:val="009D06BE"/>
    <w:rsid w:val="009D2482"/>
    <w:rsid w:val="009D25AE"/>
    <w:rsid w:val="009D39BD"/>
    <w:rsid w:val="009D47BB"/>
    <w:rsid w:val="009D47FE"/>
    <w:rsid w:val="009D4CD6"/>
    <w:rsid w:val="009D5433"/>
    <w:rsid w:val="009D5624"/>
    <w:rsid w:val="009D5FF5"/>
    <w:rsid w:val="009D6401"/>
    <w:rsid w:val="009D66FC"/>
    <w:rsid w:val="009D6A29"/>
    <w:rsid w:val="009D6C04"/>
    <w:rsid w:val="009D6E90"/>
    <w:rsid w:val="009D768B"/>
    <w:rsid w:val="009D7696"/>
    <w:rsid w:val="009E1FE9"/>
    <w:rsid w:val="009E226E"/>
    <w:rsid w:val="009E2370"/>
    <w:rsid w:val="009E284B"/>
    <w:rsid w:val="009E302A"/>
    <w:rsid w:val="009E323E"/>
    <w:rsid w:val="009E370B"/>
    <w:rsid w:val="009E3B8B"/>
    <w:rsid w:val="009E50AD"/>
    <w:rsid w:val="009E515D"/>
    <w:rsid w:val="009E540D"/>
    <w:rsid w:val="009E55C1"/>
    <w:rsid w:val="009E64FE"/>
    <w:rsid w:val="009E677D"/>
    <w:rsid w:val="009E68A9"/>
    <w:rsid w:val="009E6B7D"/>
    <w:rsid w:val="009E7922"/>
    <w:rsid w:val="009E7C66"/>
    <w:rsid w:val="009F0082"/>
    <w:rsid w:val="009F087C"/>
    <w:rsid w:val="009F1F76"/>
    <w:rsid w:val="009F2178"/>
    <w:rsid w:val="009F21DD"/>
    <w:rsid w:val="009F286F"/>
    <w:rsid w:val="009F31EE"/>
    <w:rsid w:val="009F37A1"/>
    <w:rsid w:val="009F388E"/>
    <w:rsid w:val="009F4080"/>
    <w:rsid w:val="009F4612"/>
    <w:rsid w:val="009F48BC"/>
    <w:rsid w:val="009F530C"/>
    <w:rsid w:val="009F5CD1"/>
    <w:rsid w:val="009F62B6"/>
    <w:rsid w:val="009F6D9F"/>
    <w:rsid w:val="009F6FFF"/>
    <w:rsid w:val="009F73A5"/>
    <w:rsid w:val="00A0059B"/>
    <w:rsid w:val="00A007B3"/>
    <w:rsid w:val="00A00947"/>
    <w:rsid w:val="00A00C0A"/>
    <w:rsid w:val="00A0124F"/>
    <w:rsid w:val="00A01774"/>
    <w:rsid w:val="00A017B3"/>
    <w:rsid w:val="00A020EA"/>
    <w:rsid w:val="00A0278D"/>
    <w:rsid w:val="00A03129"/>
    <w:rsid w:val="00A0333D"/>
    <w:rsid w:val="00A038A7"/>
    <w:rsid w:val="00A03BD5"/>
    <w:rsid w:val="00A04041"/>
    <w:rsid w:val="00A04B8A"/>
    <w:rsid w:val="00A04BF3"/>
    <w:rsid w:val="00A05A30"/>
    <w:rsid w:val="00A068B9"/>
    <w:rsid w:val="00A06F48"/>
    <w:rsid w:val="00A077F9"/>
    <w:rsid w:val="00A1049B"/>
    <w:rsid w:val="00A108D3"/>
    <w:rsid w:val="00A10ED8"/>
    <w:rsid w:val="00A115E1"/>
    <w:rsid w:val="00A116DD"/>
    <w:rsid w:val="00A11924"/>
    <w:rsid w:val="00A11D45"/>
    <w:rsid w:val="00A1271C"/>
    <w:rsid w:val="00A12AD7"/>
    <w:rsid w:val="00A132A9"/>
    <w:rsid w:val="00A1394D"/>
    <w:rsid w:val="00A1429E"/>
    <w:rsid w:val="00A148BA"/>
    <w:rsid w:val="00A14D1A"/>
    <w:rsid w:val="00A14D9E"/>
    <w:rsid w:val="00A151D4"/>
    <w:rsid w:val="00A15229"/>
    <w:rsid w:val="00A15D46"/>
    <w:rsid w:val="00A16825"/>
    <w:rsid w:val="00A16D67"/>
    <w:rsid w:val="00A17252"/>
    <w:rsid w:val="00A176BB"/>
    <w:rsid w:val="00A17D5E"/>
    <w:rsid w:val="00A201D0"/>
    <w:rsid w:val="00A20386"/>
    <w:rsid w:val="00A20BB0"/>
    <w:rsid w:val="00A20D8A"/>
    <w:rsid w:val="00A215D3"/>
    <w:rsid w:val="00A21623"/>
    <w:rsid w:val="00A21642"/>
    <w:rsid w:val="00A21A34"/>
    <w:rsid w:val="00A21CE5"/>
    <w:rsid w:val="00A21E8A"/>
    <w:rsid w:val="00A22106"/>
    <w:rsid w:val="00A22451"/>
    <w:rsid w:val="00A2407B"/>
    <w:rsid w:val="00A251FB"/>
    <w:rsid w:val="00A25509"/>
    <w:rsid w:val="00A259E1"/>
    <w:rsid w:val="00A25EFA"/>
    <w:rsid w:val="00A25F69"/>
    <w:rsid w:val="00A25FAC"/>
    <w:rsid w:val="00A25FC8"/>
    <w:rsid w:val="00A271B8"/>
    <w:rsid w:val="00A271D0"/>
    <w:rsid w:val="00A271F5"/>
    <w:rsid w:val="00A2773C"/>
    <w:rsid w:val="00A27CDD"/>
    <w:rsid w:val="00A27D93"/>
    <w:rsid w:val="00A27F67"/>
    <w:rsid w:val="00A3286D"/>
    <w:rsid w:val="00A335DC"/>
    <w:rsid w:val="00A33716"/>
    <w:rsid w:val="00A33FC7"/>
    <w:rsid w:val="00A342DD"/>
    <w:rsid w:val="00A344F9"/>
    <w:rsid w:val="00A359F5"/>
    <w:rsid w:val="00A361D4"/>
    <w:rsid w:val="00A37113"/>
    <w:rsid w:val="00A37176"/>
    <w:rsid w:val="00A40708"/>
    <w:rsid w:val="00A40A03"/>
    <w:rsid w:val="00A4100C"/>
    <w:rsid w:val="00A4178A"/>
    <w:rsid w:val="00A41863"/>
    <w:rsid w:val="00A41A35"/>
    <w:rsid w:val="00A41F67"/>
    <w:rsid w:val="00A42515"/>
    <w:rsid w:val="00A428D7"/>
    <w:rsid w:val="00A428DB"/>
    <w:rsid w:val="00A4307A"/>
    <w:rsid w:val="00A430D3"/>
    <w:rsid w:val="00A4352C"/>
    <w:rsid w:val="00A4402A"/>
    <w:rsid w:val="00A44A40"/>
    <w:rsid w:val="00A45076"/>
    <w:rsid w:val="00A4525D"/>
    <w:rsid w:val="00A4534A"/>
    <w:rsid w:val="00A4565E"/>
    <w:rsid w:val="00A45B7E"/>
    <w:rsid w:val="00A46739"/>
    <w:rsid w:val="00A46938"/>
    <w:rsid w:val="00A47132"/>
    <w:rsid w:val="00A47FBF"/>
    <w:rsid w:val="00A50946"/>
    <w:rsid w:val="00A50BA6"/>
    <w:rsid w:val="00A50F5C"/>
    <w:rsid w:val="00A5123F"/>
    <w:rsid w:val="00A51627"/>
    <w:rsid w:val="00A5176C"/>
    <w:rsid w:val="00A51923"/>
    <w:rsid w:val="00A52FAC"/>
    <w:rsid w:val="00A5355B"/>
    <w:rsid w:val="00A53CCD"/>
    <w:rsid w:val="00A53D0F"/>
    <w:rsid w:val="00A5487B"/>
    <w:rsid w:val="00A55730"/>
    <w:rsid w:val="00A55C25"/>
    <w:rsid w:val="00A55EEA"/>
    <w:rsid w:val="00A5697D"/>
    <w:rsid w:val="00A56AAA"/>
    <w:rsid w:val="00A56F29"/>
    <w:rsid w:val="00A57023"/>
    <w:rsid w:val="00A570E8"/>
    <w:rsid w:val="00A573AA"/>
    <w:rsid w:val="00A57638"/>
    <w:rsid w:val="00A577B5"/>
    <w:rsid w:val="00A57CC1"/>
    <w:rsid w:val="00A60152"/>
    <w:rsid w:val="00A60832"/>
    <w:rsid w:val="00A60B8D"/>
    <w:rsid w:val="00A60BAE"/>
    <w:rsid w:val="00A61062"/>
    <w:rsid w:val="00A6125E"/>
    <w:rsid w:val="00A61810"/>
    <w:rsid w:val="00A620FE"/>
    <w:rsid w:val="00A623E5"/>
    <w:rsid w:val="00A633BF"/>
    <w:rsid w:val="00A636E7"/>
    <w:rsid w:val="00A6394F"/>
    <w:rsid w:val="00A63AB6"/>
    <w:rsid w:val="00A63C85"/>
    <w:rsid w:val="00A63CCA"/>
    <w:rsid w:val="00A63EE9"/>
    <w:rsid w:val="00A648D6"/>
    <w:rsid w:val="00A649D1"/>
    <w:rsid w:val="00A651E8"/>
    <w:rsid w:val="00A654CD"/>
    <w:rsid w:val="00A65A8D"/>
    <w:rsid w:val="00A661E6"/>
    <w:rsid w:val="00A6635D"/>
    <w:rsid w:val="00A66596"/>
    <w:rsid w:val="00A66BCC"/>
    <w:rsid w:val="00A670B3"/>
    <w:rsid w:val="00A67806"/>
    <w:rsid w:val="00A67BA9"/>
    <w:rsid w:val="00A67DA2"/>
    <w:rsid w:val="00A702F7"/>
    <w:rsid w:val="00A70681"/>
    <w:rsid w:val="00A70B56"/>
    <w:rsid w:val="00A70D37"/>
    <w:rsid w:val="00A70F24"/>
    <w:rsid w:val="00A71D34"/>
    <w:rsid w:val="00A723D4"/>
    <w:rsid w:val="00A72666"/>
    <w:rsid w:val="00A72F14"/>
    <w:rsid w:val="00A73374"/>
    <w:rsid w:val="00A739C8"/>
    <w:rsid w:val="00A744EF"/>
    <w:rsid w:val="00A748BF"/>
    <w:rsid w:val="00A75617"/>
    <w:rsid w:val="00A7599E"/>
    <w:rsid w:val="00A75BBA"/>
    <w:rsid w:val="00A75C34"/>
    <w:rsid w:val="00A761D8"/>
    <w:rsid w:val="00A777FC"/>
    <w:rsid w:val="00A77A86"/>
    <w:rsid w:val="00A802A7"/>
    <w:rsid w:val="00A80E8F"/>
    <w:rsid w:val="00A81451"/>
    <w:rsid w:val="00A81540"/>
    <w:rsid w:val="00A81596"/>
    <w:rsid w:val="00A81750"/>
    <w:rsid w:val="00A81845"/>
    <w:rsid w:val="00A81C4A"/>
    <w:rsid w:val="00A81D84"/>
    <w:rsid w:val="00A81E72"/>
    <w:rsid w:val="00A8219C"/>
    <w:rsid w:val="00A82D34"/>
    <w:rsid w:val="00A82E26"/>
    <w:rsid w:val="00A82FC0"/>
    <w:rsid w:val="00A8312A"/>
    <w:rsid w:val="00A8338E"/>
    <w:rsid w:val="00A83405"/>
    <w:rsid w:val="00A8347C"/>
    <w:rsid w:val="00A834DA"/>
    <w:rsid w:val="00A83791"/>
    <w:rsid w:val="00A83B42"/>
    <w:rsid w:val="00A84011"/>
    <w:rsid w:val="00A8470F"/>
    <w:rsid w:val="00A84A9D"/>
    <w:rsid w:val="00A84CFB"/>
    <w:rsid w:val="00A8557B"/>
    <w:rsid w:val="00A855AD"/>
    <w:rsid w:val="00A85689"/>
    <w:rsid w:val="00A8652D"/>
    <w:rsid w:val="00A87862"/>
    <w:rsid w:val="00A907A4"/>
    <w:rsid w:val="00A907C0"/>
    <w:rsid w:val="00A9146B"/>
    <w:rsid w:val="00A9173A"/>
    <w:rsid w:val="00A92238"/>
    <w:rsid w:val="00A924D6"/>
    <w:rsid w:val="00A92AA3"/>
    <w:rsid w:val="00A92F64"/>
    <w:rsid w:val="00A9321C"/>
    <w:rsid w:val="00A9349F"/>
    <w:rsid w:val="00A94716"/>
    <w:rsid w:val="00A94945"/>
    <w:rsid w:val="00A94A66"/>
    <w:rsid w:val="00A94B7B"/>
    <w:rsid w:val="00A94EA1"/>
    <w:rsid w:val="00A95B6D"/>
    <w:rsid w:val="00A95D5C"/>
    <w:rsid w:val="00A96068"/>
    <w:rsid w:val="00A96626"/>
    <w:rsid w:val="00A9747A"/>
    <w:rsid w:val="00A97581"/>
    <w:rsid w:val="00A978F9"/>
    <w:rsid w:val="00AA065A"/>
    <w:rsid w:val="00AA0C72"/>
    <w:rsid w:val="00AA1329"/>
    <w:rsid w:val="00AA2113"/>
    <w:rsid w:val="00AA21DE"/>
    <w:rsid w:val="00AA26C3"/>
    <w:rsid w:val="00AA2C65"/>
    <w:rsid w:val="00AA2EED"/>
    <w:rsid w:val="00AA2FA7"/>
    <w:rsid w:val="00AA32C3"/>
    <w:rsid w:val="00AA41E9"/>
    <w:rsid w:val="00AA4840"/>
    <w:rsid w:val="00AA4A2D"/>
    <w:rsid w:val="00AA4B31"/>
    <w:rsid w:val="00AA4D8E"/>
    <w:rsid w:val="00AA53A0"/>
    <w:rsid w:val="00AA556E"/>
    <w:rsid w:val="00AA56BB"/>
    <w:rsid w:val="00AA5ACC"/>
    <w:rsid w:val="00AA65D3"/>
    <w:rsid w:val="00AA66A1"/>
    <w:rsid w:val="00AA7AFE"/>
    <w:rsid w:val="00AB0073"/>
    <w:rsid w:val="00AB064E"/>
    <w:rsid w:val="00AB0A79"/>
    <w:rsid w:val="00AB0A8F"/>
    <w:rsid w:val="00AB0BF1"/>
    <w:rsid w:val="00AB0D8C"/>
    <w:rsid w:val="00AB13E9"/>
    <w:rsid w:val="00AB156B"/>
    <w:rsid w:val="00AB1A83"/>
    <w:rsid w:val="00AB2105"/>
    <w:rsid w:val="00AB2ECD"/>
    <w:rsid w:val="00AB36C5"/>
    <w:rsid w:val="00AB3EBD"/>
    <w:rsid w:val="00AB4F6D"/>
    <w:rsid w:val="00AB539E"/>
    <w:rsid w:val="00AB5622"/>
    <w:rsid w:val="00AB5D26"/>
    <w:rsid w:val="00AB60FB"/>
    <w:rsid w:val="00AB66E1"/>
    <w:rsid w:val="00AB671A"/>
    <w:rsid w:val="00AB6DF4"/>
    <w:rsid w:val="00AB714D"/>
    <w:rsid w:val="00AB74CA"/>
    <w:rsid w:val="00AB7508"/>
    <w:rsid w:val="00AB76EE"/>
    <w:rsid w:val="00AB790C"/>
    <w:rsid w:val="00AB793D"/>
    <w:rsid w:val="00AB7BD5"/>
    <w:rsid w:val="00AC0113"/>
    <w:rsid w:val="00AC0260"/>
    <w:rsid w:val="00AC039C"/>
    <w:rsid w:val="00AC0F4B"/>
    <w:rsid w:val="00AC1C97"/>
    <w:rsid w:val="00AC1DF5"/>
    <w:rsid w:val="00AC2326"/>
    <w:rsid w:val="00AC258C"/>
    <w:rsid w:val="00AC2950"/>
    <w:rsid w:val="00AC298A"/>
    <w:rsid w:val="00AC2B6C"/>
    <w:rsid w:val="00AC3152"/>
    <w:rsid w:val="00AC3A30"/>
    <w:rsid w:val="00AC3B64"/>
    <w:rsid w:val="00AC4861"/>
    <w:rsid w:val="00AC5094"/>
    <w:rsid w:val="00AC5244"/>
    <w:rsid w:val="00AC58D9"/>
    <w:rsid w:val="00AC5D7E"/>
    <w:rsid w:val="00AC61BB"/>
    <w:rsid w:val="00AC69E3"/>
    <w:rsid w:val="00AC758B"/>
    <w:rsid w:val="00AD028C"/>
    <w:rsid w:val="00AD06BC"/>
    <w:rsid w:val="00AD0A42"/>
    <w:rsid w:val="00AD1DA2"/>
    <w:rsid w:val="00AD28C9"/>
    <w:rsid w:val="00AD328B"/>
    <w:rsid w:val="00AD33F8"/>
    <w:rsid w:val="00AD3E5B"/>
    <w:rsid w:val="00AD43F8"/>
    <w:rsid w:val="00AD442A"/>
    <w:rsid w:val="00AD4452"/>
    <w:rsid w:val="00AD4CC4"/>
    <w:rsid w:val="00AD5719"/>
    <w:rsid w:val="00AD5EFB"/>
    <w:rsid w:val="00AD64B7"/>
    <w:rsid w:val="00AD6C74"/>
    <w:rsid w:val="00AD6F3D"/>
    <w:rsid w:val="00AD78F5"/>
    <w:rsid w:val="00AD78F8"/>
    <w:rsid w:val="00AD7997"/>
    <w:rsid w:val="00AE0DD4"/>
    <w:rsid w:val="00AE125A"/>
    <w:rsid w:val="00AE13A2"/>
    <w:rsid w:val="00AE19BA"/>
    <w:rsid w:val="00AE27F9"/>
    <w:rsid w:val="00AE2846"/>
    <w:rsid w:val="00AE35D3"/>
    <w:rsid w:val="00AE40E7"/>
    <w:rsid w:val="00AE42C9"/>
    <w:rsid w:val="00AE4310"/>
    <w:rsid w:val="00AE4494"/>
    <w:rsid w:val="00AE4A8D"/>
    <w:rsid w:val="00AE4B0C"/>
    <w:rsid w:val="00AE56F0"/>
    <w:rsid w:val="00AE5869"/>
    <w:rsid w:val="00AE5E64"/>
    <w:rsid w:val="00AE6A2B"/>
    <w:rsid w:val="00AE6BDB"/>
    <w:rsid w:val="00AE6F19"/>
    <w:rsid w:val="00AE7939"/>
    <w:rsid w:val="00AE7A62"/>
    <w:rsid w:val="00AF0242"/>
    <w:rsid w:val="00AF0D6D"/>
    <w:rsid w:val="00AF16FB"/>
    <w:rsid w:val="00AF1A68"/>
    <w:rsid w:val="00AF252D"/>
    <w:rsid w:val="00AF2639"/>
    <w:rsid w:val="00AF3135"/>
    <w:rsid w:val="00AF37CA"/>
    <w:rsid w:val="00AF3F56"/>
    <w:rsid w:val="00AF422D"/>
    <w:rsid w:val="00AF4745"/>
    <w:rsid w:val="00AF4ADD"/>
    <w:rsid w:val="00AF4CCF"/>
    <w:rsid w:val="00AF4FFB"/>
    <w:rsid w:val="00AF5139"/>
    <w:rsid w:val="00AF6FCE"/>
    <w:rsid w:val="00AF716A"/>
    <w:rsid w:val="00AF7499"/>
    <w:rsid w:val="00AF79DE"/>
    <w:rsid w:val="00AF7CD4"/>
    <w:rsid w:val="00AF7DF4"/>
    <w:rsid w:val="00B0042F"/>
    <w:rsid w:val="00B0065B"/>
    <w:rsid w:val="00B00E1D"/>
    <w:rsid w:val="00B012E3"/>
    <w:rsid w:val="00B0249C"/>
    <w:rsid w:val="00B027E2"/>
    <w:rsid w:val="00B035AC"/>
    <w:rsid w:val="00B05627"/>
    <w:rsid w:val="00B05BCD"/>
    <w:rsid w:val="00B05D12"/>
    <w:rsid w:val="00B05D3A"/>
    <w:rsid w:val="00B06102"/>
    <w:rsid w:val="00B06C78"/>
    <w:rsid w:val="00B06C9D"/>
    <w:rsid w:val="00B06CF8"/>
    <w:rsid w:val="00B0744E"/>
    <w:rsid w:val="00B0767E"/>
    <w:rsid w:val="00B07DFC"/>
    <w:rsid w:val="00B100FE"/>
    <w:rsid w:val="00B110BA"/>
    <w:rsid w:val="00B11539"/>
    <w:rsid w:val="00B115A5"/>
    <w:rsid w:val="00B11B81"/>
    <w:rsid w:val="00B1235B"/>
    <w:rsid w:val="00B126AB"/>
    <w:rsid w:val="00B12A26"/>
    <w:rsid w:val="00B12CE8"/>
    <w:rsid w:val="00B13DC3"/>
    <w:rsid w:val="00B13FA3"/>
    <w:rsid w:val="00B140A8"/>
    <w:rsid w:val="00B142A2"/>
    <w:rsid w:val="00B146ED"/>
    <w:rsid w:val="00B1486C"/>
    <w:rsid w:val="00B14E02"/>
    <w:rsid w:val="00B14F21"/>
    <w:rsid w:val="00B1565F"/>
    <w:rsid w:val="00B15D34"/>
    <w:rsid w:val="00B172DD"/>
    <w:rsid w:val="00B176B7"/>
    <w:rsid w:val="00B17E48"/>
    <w:rsid w:val="00B2032B"/>
    <w:rsid w:val="00B203C2"/>
    <w:rsid w:val="00B21A2F"/>
    <w:rsid w:val="00B21F7D"/>
    <w:rsid w:val="00B221EC"/>
    <w:rsid w:val="00B223F6"/>
    <w:rsid w:val="00B2252A"/>
    <w:rsid w:val="00B227E2"/>
    <w:rsid w:val="00B22A09"/>
    <w:rsid w:val="00B22A7F"/>
    <w:rsid w:val="00B23600"/>
    <w:rsid w:val="00B2378F"/>
    <w:rsid w:val="00B23A53"/>
    <w:rsid w:val="00B23C75"/>
    <w:rsid w:val="00B2434D"/>
    <w:rsid w:val="00B24466"/>
    <w:rsid w:val="00B24957"/>
    <w:rsid w:val="00B24FE0"/>
    <w:rsid w:val="00B2535E"/>
    <w:rsid w:val="00B2538F"/>
    <w:rsid w:val="00B25612"/>
    <w:rsid w:val="00B25732"/>
    <w:rsid w:val="00B25E39"/>
    <w:rsid w:val="00B26361"/>
    <w:rsid w:val="00B26387"/>
    <w:rsid w:val="00B26638"/>
    <w:rsid w:val="00B266A0"/>
    <w:rsid w:val="00B2677E"/>
    <w:rsid w:val="00B26A06"/>
    <w:rsid w:val="00B26A41"/>
    <w:rsid w:val="00B26B7D"/>
    <w:rsid w:val="00B27650"/>
    <w:rsid w:val="00B27CF0"/>
    <w:rsid w:val="00B304F6"/>
    <w:rsid w:val="00B3088A"/>
    <w:rsid w:val="00B3114B"/>
    <w:rsid w:val="00B31F7D"/>
    <w:rsid w:val="00B320DF"/>
    <w:rsid w:val="00B32BA2"/>
    <w:rsid w:val="00B32CB5"/>
    <w:rsid w:val="00B32D97"/>
    <w:rsid w:val="00B32F8E"/>
    <w:rsid w:val="00B3326A"/>
    <w:rsid w:val="00B3353E"/>
    <w:rsid w:val="00B337AD"/>
    <w:rsid w:val="00B33853"/>
    <w:rsid w:val="00B33B54"/>
    <w:rsid w:val="00B33E94"/>
    <w:rsid w:val="00B34C51"/>
    <w:rsid w:val="00B3547D"/>
    <w:rsid w:val="00B35527"/>
    <w:rsid w:val="00B358C7"/>
    <w:rsid w:val="00B35F75"/>
    <w:rsid w:val="00B36BAA"/>
    <w:rsid w:val="00B37C12"/>
    <w:rsid w:val="00B40792"/>
    <w:rsid w:val="00B410F2"/>
    <w:rsid w:val="00B42BD5"/>
    <w:rsid w:val="00B436DB"/>
    <w:rsid w:val="00B437EC"/>
    <w:rsid w:val="00B44132"/>
    <w:rsid w:val="00B44238"/>
    <w:rsid w:val="00B446A6"/>
    <w:rsid w:val="00B448B9"/>
    <w:rsid w:val="00B44C8B"/>
    <w:rsid w:val="00B459B5"/>
    <w:rsid w:val="00B45BA1"/>
    <w:rsid w:val="00B45C19"/>
    <w:rsid w:val="00B4642A"/>
    <w:rsid w:val="00B46763"/>
    <w:rsid w:val="00B46C96"/>
    <w:rsid w:val="00B471FE"/>
    <w:rsid w:val="00B47A2A"/>
    <w:rsid w:val="00B47E23"/>
    <w:rsid w:val="00B47F61"/>
    <w:rsid w:val="00B50357"/>
    <w:rsid w:val="00B5084A"/>
    <w:rsid w:val="00B50B1E"/>
    <w:rsid w:val="00B50DD4"/>
    <w:rsid w:val="00B51187"/>
    <w:rsid w:val="00B512EE"/>
    <w:rsid w:val="00B51576"/>
    <w:rsid w:val="00B52457"/>
    <w:rsid w:val="00B5258D"/>
    <w:rsid w:val="00B52631"/>
    <w:rsid w:val="00B526BD"/>
    <w:rsid w:val="00B5311C"/>
    <w:rsid w:val="00B533F5"/>
    <w:rsid w:val="00B53611"/>
    <w:rsid w:val="00B536B9"/>
    <w:rsid w:val="00B53808"/>
    <w:rsid w:val="00B54367"/>
    <w:rsid w:val="00B5497C"/>
    <w:rsid w:val="00B54ED3"/>
    <w:rsid w:val="00B55603"/>
    <w:rsid w:val="00B55B55"/>
    <w:rsid w:val="00B55BD6"/>
    <w:rsid w:val="00B5611E"/>
    <w:rsid w:val="00B57877"/>
    <w:rsid w:val="00B57D0A"/>
    <w:rsid w:val="00B607DF"/>
    <w:rsid w:val="00B6106D"/>
    <w:rsid w:val="00B6149B"/>
    <w:rsid w:val="00B62683"/>
    <w:rsid w:val="00B626DE"/>
    <w:rsid w:val="00B62A31"/>
    <w:rsid w:val="00B63A9B"/>
    <w:rsid w:val="00B647A7"/>
    <w:rsid w:val="00B64D6B"/>
    <w:rsid w:val="00B65780"/>
    <w:rsid w:val="00B65D8F"/>
    <w:rsid w:val="00B67069"/>
    <w:rsid w:val="00B67776"/>
    <w:rsid w:val="00B67E0E"/>
    <w:rsid w:val="00B700B7"/>
    <w:rsid w:val="00B7035A"/>
    <w:rsid w:val="00B70A92"/>
    <w:rsid w:val="00B70CD5"/>
    <w:rsid w:val="00B71A1B"/>
    <w:rsid w:val="00B730A1"/>
    <w:rsid w:val="00B7354B"/>
    <w:rsid w:val="00B73584"/>
    <w:rsid w:val="00B738AA"/>
    <w:rsid w:val="00B73E65"/>
    <w:rsid w:val="00B7416F"/>
    <w:rsid w:val="00B7418D"/>
    <w:rsid w:val="00B75A41"/>
    <w:rsid w:val="00B75ABA"/>
    <w:rsid w:val="00B75DC1"/>
    <w:rsid w:val="00B76B83"/>
    <w:rsid w:val="00B77435"/>
    <w:rsid w:val="00B777F6"/>
    <w:rsid w:val="00B80745"/>
    <w:rsid w:val="00B8085A"/>
    <w:rsid w:val="00B8178F"/>
    <w:rsid w:val="00B8179E"/>
    <w:rsid w:val="00B81941"/>
    <w:rsid w:val="00B81985"/>
    <w:rsid w:val="00B81DE7"/>
    <w:rsid w:val="00B844BA"/>
    <w:rsid w:val="00B848FD"/>
    <w:rsid w:val="00B8583B"/>
    <w:rsid w:val="00B85E01"/>
    <w:rsid w:val="00B861E4"/>
    <w:rsid w:val="00B8623E"/>
    <w:rsid w:val="00B86606"/>
    <w:rsid w:val="00B867BB"/>
    <w:rsid w:val="00B869AB"/>
    <w:rsid w:val="00B86ECB"/>
    <w:rsid w:val="00B86F9C"/>
    <w:rsid w:val="00B87687"/>
    <w:rsid w:val="00B876E6"/>
    <w:rsid w:val="00B87A1D"/>
    <w:rsid w:val="00B87E8B"/>
    <w:rsid w:val="00B87FFC"/>
    <w:rsid w:val="00B90CE9"/>
    <w:rsid w:val="00B911CB"/>
    <w:rsid w:val="00B911EA"/>
    <w:rsid w:val="00B916BE"/>
    <w:rsid w:val="00B921C8"/>
    <w:rsid w:val="00B922A9"/>
    <w:rsid w:val="00B92623"/>
    <w:rsid w:val="00B92984"/>
    <w:rsid w:val="00B92B00"/>
    <w:rsid w:val="00B934D0"/>
    <w:rsid w:val="00B934F6"/>
    <w:rsid w:val="00B93525"/>
    <w:rsid w:val="00B93841"/>
    <w:rsid w:val="00B94D80"/>
    <w:rsid w:val="00B9521A"/>
    <w:rsid w:val="00B952EB"/>
    <w:rsid w:val="00B95530"/>
    <w:rsid w:val="00B9568C"/>
    <w:rsid w:val="00B95F06"/>
    <w:rsid w:val="00B9640F"/>
    <w:rsid w:val="00B9652E"/>
    <w:rsid w:val="00B96E60"/>
    <w:rsid w:val="00B97201"/>
    <w:rsid w:val="00B97B9E"/>
    <w:rsid w:val="00B97BAB"/>
    <w:rsid w:val="00B97CC5"/>
    <w:rsid w:val="00BA02E6"/>
    <w:rsid w:val="00BA0E32"/>
    <w:rsid w:val="00BA10A4"/>
    <w:rsid w:val="00BA13C3"/>
    <w:rsid w:val="00BA1478"/>
    <w:rsid w:val="00BA1596"/>
    <w:rsid w:val="00BA16C8"/>
    <w:rsid w:val="00BA2192"/>
    <w:rsid w:val="00BA2B32"/>
    <w:rsid w:val="00BA3608"/>
    <w:rsid w:val="00BA384E"/>
    <w:rsid w:val="00BA39F1"/>
    <w:rsid w:val="00BA3A48"/>
    <w:rsid w:val="00BA3B58"/>
    <w:rsid w:val="00BA3CD3"/>
    <w:rsid w:val="00BA49A3"/>
    <w:rsid w:val="00BA4A22"/>
    <w:rsid w:val="00BA51A2"/>
    <w:rsid w:val="00BA52A0"/>
    <w:rsid w:val="00BA5475"/>
    <w:rsid w:val="00BA6304"/>
    <w:rsid w:val="00BA763A"/>
    <w:rsid w:val="00BA7783"/>
    <w:rsid w:val="00BA79FE"/>
    <w:rsid w:val="00BA7F03"/>
    <w:rsid w:val="00BB023B"/>
    <w:rsid w:val="00BB0855"/>
    <w:rsid w:val="00BB1946"/>
    <w:rsid w:val="00BB214F"/>
    <w:rsid w:val="00BB21AB"/>
    <w:rsid w:val="00BB22F5"/>
    <w:rsid w:val="00BB26B6"/>
    <w:rsid w:val="00BB4976"/>
    <w:rsid w:val="00BB497B"/>
    <w:rsid w:val="00BB5039"/>
    <w:rsid w:val="00BB57AC"/>
    <w:rsid w:val="00BB5A79"/>
    <w:rsid w:val="00BB5C4E"/>
    <w:rsid w:val="00BB61CB"/>
    <w:rsid w:val="00BB6779"/>
    <w:rsid w:val="00BB690A"/>
    <w:rsid w:val="00BB69F7"/>
    <w:rsid w:val="00BB6BA2"/>
    <w:rsid w:val="00BB765C"/>
    <w:rsid w:val="00BB7BE7"/>
    <w:rsid w:val="00BB7DBF"/>
    <w:rsid w:val="00BC0A22"/>
    <w:rsid w:val="00BC0AFA"/>
    <w:rsid w:val="00BC0D98"/>
    <w:rsid w:val="00BC2237"/>
    <w:rsid w:val="00BC264C"/>
    <w:rsid w:val="00BC338E"/>
    <w:rsid w:val="00BC3F90"/>
    <w:rsid w:val="00BC4F7F"/>
    <w:rsid w:val="00BC59F1"/>
    <w:rsid w:val="00BC5AB4"/>
    <w:rsid w:val="00BC67CF"/>
    <w:rsid w:val="00BC6D3D"/>
    <w:rsid w:val="00BC71AB"/>
    <w:rsid w:val="00BC73A5"/>
    <w:rsid w:val="00BC7EA1"/>
    <w:rsid w:val="00BD0367"/>
    <w:rsid w:val="00BD04CF"/>
    <w:rsid w:val="00BD11D7"/>
    <w:rsid w:val="00BD11E7"/>
    <w:rsid w:val="00BD1B7A"/>
    <w:rsid w:val="00BD1CBD"/>
    <w:rsid w:val="00BD1F25"/>
    <w:rsid w:val="00BD3657"/>
    <w:rsid w:val="00BD3941"/>
    <w:rsid w:val="00BD3FE6"/>
    <w:rsid w:val="00BD447D"/>
    <w:rsid w:val="00BD4A7A"/>
    <w:rsid w:val="00BD52F9"/>
    <w:rsid w:val="00BD58F3"/>
    <w:rsid w:val="00BD5EB5"/>
    <w:rsid w:val="00BD607F"/>
    <w:rsid w:val="00BD72DC"/>
    <w:rsid w:val="00BD7AB9"/>
    <w:rsid w:val="00BD7DA8"/>
    <w:rsid w:val="00BE1A8F"/>
    <w:rsid w:val="00BE1B65"/>
    <w:rsid w:val="00BE2CC2"/>
    <w:rsid w:val="00BE32AB"/>
    <w:rsid w:val="00BE3813"/>
    <w:rsid w:val="00BE452C"/>
    <w:rsid w:val="00BE4796"/>
    <w:rsid w:val="00BE51EE"/>
    <w:rsid w:val="00BE5839"/>
    <w:rsid w:val="00BE59A6"/>
    <w:rsid w:val="00BE5F0E"/>
    <w:rsid w:val="00BE6B0E"/>
    <w:rsid w:val="00BF01E1"/>
    <w:rsid w:val="00BF057D"/>
    <w:rsid w:val="00BF1745"/>
    <w:rsid w:val="00BF1B03"/>
    <w:rsid w:val="00BF269C"/>
    <w:rsid w:val="00BF2727"/>
    <w:rsid w:val="00BF2CD0"/>
    <w:rsid w:val="00BF3031"/>
    <w:rsid w:val="00BF30B3"/>
    <w:rsid w:val="00BF32F2"/>
    <w:rsid w:val="00BF35EF"/>
    <w:rsid w:val="00BF3737"/>
    <w:rsid w:val="00BF37BD"/>
    <w:rsid w:val="00BF3BA4"/>
    <w:rsid w:val="00BF3DF5"/>
    <w:rsid w:val="00BF4781"/>
    <w:rsid w:val="00BF4F4D"/>
    <w:rsid w:val="00BF5260"/>
    <w:rsid w:val="00BF6397"/>
    <w:rsid w:val="00BF7324"/>
    <w:rsid w:val="00BF7810"/>
    <w:rsid w:val="00C00503"/>
    <w:rsid w:val="00C00F0B"/>
    <w:rsid w:val="00C01EE7"/>
    <w:rsid w:val="00C02012"/>
    <w:rsid w:val="00C02C38"/>
    <w:rsid w:val="00C02CD0"/>
    <w:rsid w:val="00C0301F"/>
    <w:rsid w:val="00C04403"/>
    <w:rsid w:val="00C04B8B"/>
    <w:rsid w:val="00C04DC2"/>
    <w:rsid w:val="00C04E1D"/>
    <w:rsid w:val="00C05DF2"/>
    <w:rsid w:val="00C06483"/>
    <w:rsid w:val="00C0678F"/>
    <w:rsid w:val="00C072E1"/>
    <w:rsid w:val="00C07F15"/>
    <w:rsid w:val="00C100E3"/>
    <w:rsid w:val="00C10323"/>
    <w:rsid w:val="00C1099E"/>
    <w:rsid w:val="00C10A48"/>
    <w:rsid w:val="00C10D62"/>
    <w:rsid w:val="00C11022"/>
    <w:rsid w:val="00C11276"/>
    <w:rsid w:val="00C1160C"/>
    <w:rsid w:val="00C117DB"/>
    <w:rsid w:val="00C1194B"/>
    <w:rsid w:val="00C11B53"/>
    <w:rsid w:val="00C11DD9"/>
    <w:rsid w:val="00C11F1C"/>
    <w:rsid w:val="00C1243B"/>
    <w:rsid w:val="00C127BA"/>
    <w:rsid w:val="00C128D7"/>
    <w:rsid w:val="00C12D53"/>
    <w:rsid w:val="00C12E38"/>
    <w:rsid w:val="00C13221"/>
    <w:rsid w:val="00C13384"/>
    <w:rsid w:val="00C13901"/>
    <w:rsid w:val="00C13A30"/>
    <w:rsid w:val="00C14872"/>
    <w:rsid w:val="00C14B7B"/>
    <w:rsid w:val="00C14DF4"/>
    <w:rsid w:val="00C15596"/>
    <w:rsid w:val="00C15753"/>
    <w:rsid w:val="00C161B9"/>
    <w:rsid w:val="00C1650D"/>
    <w:rsid w:val="00C16952"/>
    <w:rsid w:val="00C16E9C"/>
    <w:rsid w:val="00C16F33"/>
    <w:rsid w:val="00C17803"/>
    <w:rsid w:val="00C20E3B"/>
    <w:rsid w:val="00C214F4"/>
    <w:rsid w:val="00C21661"/>
    <w:rsid w:val="00C21799"/>
    <w:rsid w:val="00C21AC7"/>
    <w:rsid w:val="00C21C68"/>
    <w:rsid w:val="00C223F5"/>
    <w:rsid w:val="00C22BB2"/>
    <w:rsid w:val="00C2467F"/>
    <w:rsid w:val="00C24ACD"/>
    <w:rsid w:val="00C2535A"/>
    <w:rsid w:val="00C25953"/>
    <w:rsid w:val="00C25F7C"/>
    <w:rsid w:val="00C260A5"/>
    <w:rsid w:val="00C26138"/>
    <w:rsid w:val="00C2675A"/>
    <w:rsid w:val="00C26D2A"/>
    <w:rsid w:val="00C276DE"/>
    <w:rsid w:val="00C3059B"/>
    <w:rsid w:val="00C308D0"/>
    <w:rsid w:val="00C30A24"/>
    <w:rsid w:val="00C30FE7"/>
    <w:rsid w:val="00C31306"/>
    <w:rsid w:val="00C3157C"/>
    <w:rsid w:val="00C3172D"/>
    <w:rsid w:val="00C3182E"/>
    <w:rsid w:val="00C31C39"/>
    <w:rsid w:val="00C32B43"/>
    <w:rsid w:val="00C33683"/>
    <w:rsid w:val="00C34043"/>
    <w:rsid w:val="00C344C2"/>
    <w:rsid w:val="00C34BDE"/>
    <w:rsid w:val="00C34C9B"/>
    <w:rsid w:val="00C35FFA"/>
    <w:rsid w:val="00C365D6"/>
    <w:rsid w:val="00C3679A"/>
    <w:rsid w:val="00C36E01"/>
    <w:rsid w:val="00C36E18"/>
    <w:rsid w:val="00C370C9"/>
    <w:rsid w:val="00C372A2"/>
    <w:rsid w:val="00C37B00"/>
    <w:rsid w:val="00C401F4"/>
    <w:rsid w:val="00C40368"/>
    <w:rsid w:val="00C40559"/>
    <w:rsid w:val="00C405FD"/>
    <w:rsid w:val="00C40E80"/>
    <w:rsid w:val="00C4136F"/>
    <w:rsid w:val="00C41E7C"/>
    <w:rsid w:val="00C421A7"/>
    <w:rsid w:val="00C42281"/>
    <w:rsid w:val="00C422B1"/>
    <w:rsid w:val="00C42D41"/>
    <w:rsid w:val="00C43634"/>
    <w:rsid w:val="00C43811"/>
    <w:rsid w:val="00C43F21"/>
    <w:rsid w:val="00C45D61"/>
    <w:rsid w:val="00C464DF"/>
    <w:rsid w:val="00C46570"/>
    <w:rsid w:val="00C4659D"/>
    <w:rsid w:val="00C46B16"/>
    <w:rsid w:val="00C46D15"/>
    <w:rsid w:val="00C470FD"/>
    <w:rsid w:val="00C47865"/>
    <w:rsid w:val="00C47D95"/>
    <w:rsid w:val="00C47DD3"/>
    <w:rsid w:val="00C506C8"/>
    <w:rsid w:val="00C50BB2"/>
    <w:rsid w:val="00C512AB"/>
    <w:rsid w:val="00C514AB"/>
    <w:rsid w:val="00C51B71"/>
    <w:rsid w:val="00C51F6D"/>
    <w:rsid w:val="00C521E4"/>
    <w:rsid w:val="00C52590"/>
    <w:rsid w:val="00C52F37"/>
    <w:rsid w:val="00C52FE2"/>
    <w:rsid w:val="00C53999"/>
    <w:rsid w:val="00C53F44"/>
    <w:rsid w:val="00C54460"/>
    <w:rsid w:val="00C54900"/>
    <w:rsid w:val="00C54F6E"/>
    <w:rsid w:val="00C55C3B"/>
    <w:rsid w:val="00C56220"/>
    <w:rsid w:val="00C56699"/>
    <w:rsid w:val="00C56771"/>
    <w:rsid w:val="00C56A02"/>
    <w:rsid w:val="00C56D43"/>
    <w:rsid w:val="00C57161"/>
    <w:rsid w:val="00C571BD"/>
    <w:rsid w:val="00C572EC"/>
    <w:rsid w:val="00C57654"/>
    <w:rsid w:val="00C57C49"/>
    <w:rsid w:val="00C60132"/>
    <w:rsid w:val="00C60826"/>
    <w:rsid w:val="00C60927"/>
    <w:rsid w:val="00C60C34"/>
    <w:rsid w:val="00C61762"/>
    <w:rsid w:val="00C61C57"/>
    <w:rsid w:val="00C61F5C"/>
    <w:rsid w:val="00C622D8"/>
    <w:rsid w:val="00C62536"/>
    <w:rsid w:val="00C62632"/>
    <w:rsid w:val="00C62B53"/>
    <w:rsid w:val="00C639A6"/>
    <w:rsid w:val="00C64016"/>
    <w:rsid w:val="00C640D6"/>
    <w:rsid w:val="00C64222"/>
    <w:rsid w:val="00C64759"/>
    <w:rsid w:val="00C65A95"/>
    <w:rsid w:val="00C66432"/>
    <w:rsid w:val="00C669D2"/>
    <w:rsid w:val="00C66B41"/>
    <w:rsid w:val="00C6724B"/>
    <w:rsid w:val="00C67B23"/>
    <w:rsid w:val="00C70184"/>
    <w:rsid w:val="00C7063F"/>
    <w:rsid w:val="00C706A6"/>
    <w:rsid w:val="00C70AE0"/>
    <w:rsid w:val="00C70CBB"/>
    <w:rsid w:val="00C714BB"/>
    <w:rsid w:val="00C71761"/>
    <w:rsid w:val="00C71E85"/>
    <w:rsid w:val="00C72B38"/>
    <w:rsid w:val="00C72D4C"/>
    <w:rsid w:val="00C72D5D"/>
    <w:rsid w:val="00C7444C"/>
    <w:rsid w:val="00C758E0"/>
    <w:rsid w:val="00C77345"/>
    <w:rsid w:val="00C77A26"/>
    <w:rsid w:val="00C800FE"/>
    <w:rsid w:val="00C8080F"/>
    <w:rsid w:val="00C80E41"/>
    <w:rsid w:val="00C81C0A"/>
    <w:rsid w:val="00C81E25"/>
    <w:rsid w:val="00C824A1"/>
    <w:rsid w:val="00C824C0"/>
    <w:rsid w:val="00C82D00"/>
    <w:rsid w:val="00C82D6D"/>
    <w:rsid w:val="00C83452"/>
    <w:rsid w:val="00C834DF"/>
    <w:rsid w:val="00C83924"/>
    <w:rsid w:val="00C84E0B"/>
    <w:rsid w:val="00C8580B"/>
    <w:rsid w:val="00C85929"/>
    <w:rsid w:val="00C85CE0"/>
    <w:rsid w:val="00C85FCA"/>
    <w:rsid w:val="00C8600A"/>
    <w:rsid w:val="00C862F8"/>
    <w:rsid w:val="00C868D8"/>
    <w:rsid w:val="00C8697E"/>
    <w:rsid w:val="00C86C62"/>
    <w:rsid w:val="00C86E67"/>
    <w:rsid w:val="00C876BB"/>
    <w:rsid w:val="00C87946"/>
    <w:rsid w:val="00C87A20"/>
    <w:rsid w:val="00C90296"/>
    <w:rsid w:val="00C90868"/>
    <w:rsid w:val="00C90C98"/>
    <w:rsid w:val="00C91EC4"/>
    <w:rsid w:val="00C91F01"/>
    <w:rsid w:val="00C9293C"/>
    <w:rsid w:val="00C9348F"/>
    <w:rsid w:val="00C94116"/>
    <w:rsid w:val="00C94145"/>
    <w:rsid w:val="00C9428B"/>
    <w:rsid w:val="00C94471"/>
    <w:rsid w:val="00C94E4C"/>
    <w:rsid w:val="00C95150"/>
    <w:rsid w:val="00C95CAA"/>
    <w:rsid w:val="00C9689D"/>
    <w:rsid w:val="00C97176"/>
    <w:rsid w:val="00CA1E46"/>
    <w:rsid w:val="00CA1FDB"/>
    <w:rsid w:val="00CA211B"/>
    <w:rsid w:val="00CA267B"/>
    <w:rsid w:val="00CA29B5"/>
    <w:rsid w:val="00CA2F7F"/>
    <w:rsid w:val="00CA366C"/>
    <w:rsid w:val="00CA39D0"/>
    <w:rsid w:val="00CA4D0A"/>
    <w:rsid w:val="00CA4F1E"/>
    <w:rsid w:val="00CA5232"/>
    <w:rsid w:val="00CA5498"/>
    <w:rsid w:val="00CA54BC"/>
    <w:rsid w:val="00CA5611"/>
    <w:rsid w:val="00CA57F8"/>
    <w:rsid w:val="00CA6C88"/>
    <w:rsid w:val="00CA6FB3"/>
    <w:rsid w:val="00CA725C"/>
    <w:rsid w:val="00CA7763"/>
    <w:rsid w:val="00CA78ED"/>
    <w:rsid w:val="00CB0145"/>
    <w:rsid w:val="00CB0E44"/>
    <w:rsid w:val="00CB2D4F"/>
    <w:rsid w:val="00CB304E"/>
    <w:rsid w:val="00CB3139"/>
    <w:rsid w:val="00CB3D2C"/>
    <w:rsid w:val="00CB428C"/>
    <w:rsid w:val="00CB479C"/>
    <w:rsid w:val="00CB6476"/>
    <w:rsid w:val="00CB690F"/>
    <w:rsid w:val="00CB6CD7"/>
    <w:rsid w:val="00CB6D9E"/>
    <w:rsid w:val="00CB6E1F"/>
    <w:rsid w:val="00CB7169"/>
    <w:rsid w:val="00CB7333"/>
    <w:rsid w:val="00CB7792"/>
    <w:rsid w:val="00CB7C90"/>
    <w:rsid w:val="00CC04E2"/>
    <w:rsid w:val="00CC05EE"/>
    <w:rsid w:val="00CC0931"/>
    <w:rsid w:val="00CC0EFF"/>
    <w:rsid w:val="00CC1089"/>
    <w:rsid w:val="00CC12AE"/>
    <w:rsid w:val="00CC1338"/>
    <w:rsid w:val="00CC13EC"/>
    <w:rsid w:val="00CC13FC"/>
    <w:rsid w:val="00CC1705"/>
    <w:rsid w:val="00CC1957"/>
    <w:rsid w:val="00CC213C"/>
    <w:rsid w:val="00CC2996"/>
    <w:rsid w:val="00CC304B"/>
    <w:rsid w:val="00CC3FE7"/>
    <w:rsid w:val="00CC49BF"/>
    <w:rsid w:val="00CC4D78"/>
    <w:rsid w:val="00CC507F"/>
    <w:rsid w:val="00CC582A"/>
    <w:rsid w:val="00CC6118"/>
    <w:rsid w:val="00CC67A3"/>
    <w:rsid w:val="00CC6A96"/>
    <w:rsid w:val="00CC7243"/>
    <w:rsid w:val="00CC7803"/>
    <w:rsid w:val="00CC78D5"/>
    <w:rsid w:val="00CC793D"/>
    <w:rsid w:val="00CC7963"/>
    <w:rsid w:val="00CD0851"/>
    <w:rsid w:val="00CD094E"/>
    <w:rsid w:val="00CD0A1B"/>
    <w:rsid w:val="00CD14B6"/>
    <w:rsid w:val="00CD168F"/>
    <w:rsid w:val="00CD1A84"/>
    <w:rsid w:val="00CD2211"/>
    <w:rsid w:val="00CD2C14"/>
    <w:rsid w:val="00CD2C63"/>
    <w:rsid w:val="00CD2D3B"/>
    <w:rsid w:val="00CD2F67"/>
    <w:rsid w:val="00CD32EB"/>
    <w:rsid w:val="00CD37A3"/>
    <w:rsid w:val="00CD3B43"/>
    <w:rsid w:val="00CD3E71"/>
    <w:rsid w:val="00CD419D"/>
    <w:rsid w:val="00CD41B1"/>
    <w:rsid w:val="00CD438A"/>
    <w:rsid w:val="00CD45FA"/>
    <w:rsid w:val="00CD4728"/>
    <w:rsid w:val="00CD4C21"/>
    <w:rsid w:val="00CD57FD"/>
    <w:rsid w:val="00CD5A48"/>
    <w:rsid w:val="00CD6D3A"/>
    <w:rsid w:val="00CD7902"/>
    <w:rsid w:val="00CE0892"/>
    <w:rsid w:val="00CE1EB5"/>
    <w:rsid w:val="00CE2460"/>
    <w:rsid w:val="00CE2959"/>
    <w:rsid w:val="00CE3258"/>
    <w:rsid w:val="00CE334B"/>
    <w:rsid w:val="00CE355A"/>
    <w:rsid w:val="00CE3736"/>
    <w:rsid w:val="00CE3766"/>
    <w:rsid w:val="00CE39E5"/>
    <w:rsid w:val="00CE3C81"/>
    <w:rsid w:val="00CE4929"/>
    <w:rsid w:val="00CE4C7D"/>
    <w:rsid w:val="00CE5281"/>
    <w:rsid w:val="00CE569D"/>
    <w:rsid w:val="00CE5733"/>
    <w:rsid w:val="00CE5843"/>
    <w:rsid w:val="00CE6382"/>
    <w:rsid w:val="00CE68C7"/>
    <w:rsid w:val="00CE6B5B"/>
    <w:rsid w:val="00CE6C00"/>
    <w:rsid w:val="00CE7168"/>
    <w:rsid w:val="00CE77C6"/>
    <w:rsid w:val="00CF1164"/>
    <w:rsid w:val="00CF11AE"/>
    <w:rsid w:val="00CF16C6"/>
    <w:rsid w:val="00CF1965"/>
    <w:rsid w:val="00CF2A6D"/>
    <w:rsid w:val="00CF2A7B"/>
    <w:rsid w:val="00CF2C43"/>
    <w:rsid w:val="00CF2CE9"/>
    <w:rsid w:val="00CF2EFA"/>
    <w:rsid w:val="00CF354E"/>
    <w:rsid w:val="00CF3B0B"/>
    <w:rsid w:val="00CF3FE3"/>
    <w:rsid w:val="00CF4045"/>
    <w:rsid w:val="00CF4672"/>
    <w:rsid w:val="00CF4E71"/>
    <w:rsid w:val="00CF4F8F"/>
    <w:rsid w:val="00CF5397"/>
    <w:rsid w:val="00CF54AE"/>
    <w:rsid w:val="00CF54F4"/>
    <w:rsid w:val="00CF60A7"/>
    <w:rsid w:val="00D00273"/>
    <w:rsid w:val="00D00779"/>
    <w:rsid w:val="00D00794"/>
    <w:rsid w:val="00D012A2"/>
    <w:rsid w:val="00D0150E"/>
    <w:rsid w:val="00D01E93"/>
    <w:rsid w:val="00D02C8F"/>
    <w:rsid w:val="00D034E5"/>
    <w:rsid w:val="00D037B6"/>
    <w:rsid w:val="00D03D04"/>
    <w:rsid w:val="00D03D53"/>
    <w:rsid w:val="00D03F63"/>
    <w:rsid w:val="00D0474A"/>
    <w:rsid w:val="00D04F41"/>
    <w:rsid w:val="00D05754"/>
    <w:rsid w:val="00D058B9"/>
    <w:rsid w:val="00D05BDA"/>
    <w:rsid w:val="00D05BFC"/>
    <w:rsid w:val="00D05D80"/>
    <w:rsid w:val="00D060C8"/>
    <w:rsid w:val="00D06163"/>
    <w:rsid w:val="00D0624E"/>
    <w:rsid w:val="00D06783"/>
    <w:rsid w:val="00D070DA"/>
    <w:rsid w:val="00D07A4C"/>
    <w:rsid w:val="00D07F4C"/>
    <w:rsid w:val="00D07F7D"/>
    <w:rsid w:val="00D1021B"/>
    <w:rsid w:val="00D1115B"/>
    <w:rsid w:val="00D117D2"/>
    <w:rsid w:val="00D11E4B"/>
    <w:rsid w:val="00D11FA0"/>
    <w:rsid w:val="00D12BA9"/>
    <w:rsid w:val="00D12D15"/>
    <w:rsid w:val="00D13916"/>
    <w:rsid w:val="00D14BF1"/>
    <w:rsid w:val="00D1549F"/>
    <w:rsid w:val="00D156D6"/>
    <w:rsid w:val="00D15855"/>
    <w:rsid w:val="00D15916"/>
    <w:rsid w:val="00D15924"/>
    <w:rsid w:val="00D15BB9"/>
    <w:rsid w:val="00D16086"/>
    <w:rsid w:val="00D17BF1"/>
    <w:rsid w:val="00D20DC1"/>
    <w:rsid w:val="00D20F3F"/>
    <w:rsid w:val="00D211EA"/>
    <w:rsid w:val="00D226CD"/>
    <w:rsid w:val="00D226E1"/>
    <w:rsid w:val="00D22F72"/>
    <w:rsid w:val="00D2383B"/>
    <w:rsid w:val="00D240AA"/>
    <w:rsid w:val="00D24701"/>
    <w:rsid w:val="00D24953"/>
    <w:rsid w:val="00D25421"/>
    <w:rsid w:val="00D25557"/>
    <w:rsid w:val="00D258B5"/>
    <w:rsid w:val="00D25E07"/>
    <w:rsid w:val="00D26943"/>
    <w:rsid w:val="00D271B1"/>
    <w:rsid w:val="00D27889"/>
    <w:rsid w:val="00D27AF7"/>
    <w:rsid w:val="00D27CD4"/>
    <w:rsid w:val="00D30107"/>
    <w:rsid w:val="00D30871"/>
    <w:rsid w:val="00D33774"/>
    <w:rsid w:val="00D33B9B"/>
    <w:rsid w:val="00D34398"/>
    <w:rsid w:val="00D353E8"/>
    <w:rsid w:val="00D3565E"/>
    <w:rsid w:val="00D3571F"/>
    <w:rsid w:val="00D358FF"/>
    <w:rsid w:val="00D35B3B"/>
    <w:rsid w:val="00D368A7"/>
    <w:rsid w:val="00D3707A"/>
    <w:rsid w:val="00D40105"/>
    <w:rsid w:val="00D4064D"/>
    <w:rsid w:val="00D407FC"/>
    <w:rsid w:val="00D40AD7"/>
    <w:rsid w:val="00D40CCE"/>
    <w:rsid w:val="00D411FB"/>
    <w:rsid w:val="00D4130C"/>
    <w:rsid w:val="00D41519"/>
    <w:rsid w:val="00D41F40"/>
    <w:rsid w:val="00D421A1"/>
    <w:rsid w:val="00D4292A"/>
    <w:rsid w:val="00D42A51"/>
    <w:rsid w:val="00D44C7C"/>
    <w:rsid w:val="00D464CB"/>
    <w:rsid w:val="00D468B8"/>
    <w:rsid w:val="00D4696C"/>
    <w:rsid w:val="00D46CDD"/>
    <w:rsid w:val="00D5040D"/>
    <w:rsid w:val="00D50475"/>
    <w:rsid w:val="00D50630"/>
    <w:rsid w:val="00D50D26"/>
    <w:rsid w:val="00D51651"/>
    <w:rsid w:val="00D518AF"/>
    <w:rsid w:val="00D51DF1"/>
    <w:rsid w:val="00D5209C"/>
    <w:rsid w:val="00D5294A"/>
    <w:rsid w:val="00D52E6A"/>
    <w:rsid w:val="00D53236"/>
    <w:rsid w:val="00D53432"/>
    <w:rsid w:val="00D536F2"/>
    <w:rsid w:val="00D53A39"/>
    <w:rsid w:val="00D53AA5"/>
    <w:rsid w:val="00D53CA7"/>
    <w:rsid w:val="00D54201"/>
    <w:rsid w:val="00D546F8"/>
    <w:rsid w:val="00D5553E"/>
    <w:rsid w:val="00D55B90"/>
    <w:rsid w:val="00D562BE"/>
    <w:rsid w:val="00D5634C"/>
    <w:rsid w:val="00D56D0E"/>
    <w:rsid w:val="00D5701A"/>
    <w:rsid w:val="00D575D2"/>
    <w:rsid w:val="00D577B7"/>
    <w:rsid w:val="00D60278"/>
    <w:rsid w:val="00D60C76"/>
    <w:rsid w:val="00D60FE9"/>
    <w:rsid w:val="00D6194F"/>
    <w:rsid w:val="00D61F45"/>
    <w:rsid w:val="00D6297D"/>
    <w:rsid w:val="00D62AB8"/>
    <w:rsid w:val="00D62C10"/>
    <w:rsid w:val="00D62D1D"/>
    <w:rsid w:val="00D63298"/>
    <w:rsid w:val="00D6388B"/>
    <w:rsid w:val="00D639A9"/>
    <w:rsid w:val="00D63AFB"/>
    <w:rsid w:val="00D63B30"/>
    <w:rsid w:val="00D63C79"/>
    <w:rsid w:val="00D63E4C"/>
    <w:rsid w:val="00D6436E"/>
    <w:rsid w:val="00D643A4"/>
    <w:rsid w:val="00D64636"/>
    <w:rsid w:val="00D6495E"/>
    <w:rsid w:val="00D64C71"/>
    <w:rsid w:val="00D64EE3"/>
    <w:rsid w:val="00D65240"/>
    <w:rsid w:val="00D65578"/>
    <w:rsid w:val="00D65B39"/>
    <w:rsid w:val="00D66BC1"/>
    <w:rsid w:val="00D67B7B"/>
    <w:rsid w:val="00D707A2"/>
    <w:rsid w:val="00D71168"/>
    <w:rsid w:val="00D711DB"/>
    <w:rsid w:val="00D71418"/>
    <w:rsid w:val="00D71553"/>
    <w:rsid w:val="00D71CEE"/>
    <w:rsid w:val="00D7228F"/>
    <w:rsid w:val="00D72890"/>
    <w:rsid w:val="00D728D4"/>
    <w:rsid w:val="00D72EBF"/>
    <w:rsid w:val="00D72F80"/>
    <w:rsid w:val="00D732D0"/>
    <w:rsid w:val="00D73D22"/>
    <w:rsid w:val="00D73EC9"/>
    <w:rsid w:val="00D73F16"/>
    <w:rsid w:val="00D74866"/>
    <w:rsid w:val="00D74E25"/>
    <w:rsid w:val="00D75456"/>
    <w:rsid w:val="00D755E0"/>
    <w:rsid w:val="00D75E24"/>
    <w:rsid w:val="00D75FE0"/>
    <w:rsid w:val="00D7601C"/>
    <w:rsid w:val="00D76715"/>
    <w:rsid w:val="00D76BF1"/>
    <w:rsid w:val="00D76F3F"/>
    <w:rsid w:val="00D77A0F"/>
    <w:rsid w:val="00D80884"/>
    <w:rsid w:val="00D81A84"/>
    <w:rsid w:val="00D81C10"/>
    <w:rsid w:val="00D81D36"/>
    <w:rsid w:val="00D82200"/>
    <w:rsid w:val="00D82D2F"/>
    <w:rsid w:val="00D832BC"/>
    <w:rsid w:val="00D83977"/>
    <w:rsid w:val="00D84273"/>
    <w:rsid w:val="00D844BE"/>
    <w:rsid w:val="00D849D4"/>
    <w:rsid w:val="00D857D0"/>
    <w:rsid w:val="00D85D19"/>
    <w:rsid w:val="00D86C8C"/>
    <w:rsid w:val="00D86E2B"/>
    <w:rsid w:val="00D86E71"/>
    <w:rsid w:val="00D87040"/>
    <w:rsid w:val="00D87DC1"/>
    <w:rsid w:val="00D905FC"/>
    <w:rsid w:val="00D90960"/>
    <w:rsid w:val="00D9149E"/>
    <w:rsid w:val="00D91F91"/>
    <w:rsid w:val="00D922DB"/>
    <w:rsid w:val="00D9279B"/>
    <w:rsid w:val="00D92D72"/>
    <w:rsid w:val="00D9316E"/>
    <w:rsid w:val="00D939E0"/>
    <w:rsid w:val="00D93E10"/>
    <w:rsid w:val="00D94903"/>
    <w:rsid w:val="00D94CFB"/>
    <w:rsid w:val="00D94E58"/>
    <w:rsid w:val="00D94FF9"/>
    <w:rsid w:val="00D95024"/>
    <w:rsid w:val="00D95100"/>
    <w:rsid w:val="00D95BA6"/>
    <w:rsid w:val="00D9650C"/>
    <w:rsid w:val="00D96550"/>
    <w:rsid w:val="00D973AC"/>
    <w:rsid w:val="00D976C3"/>
    <w:rsid w:val="00D97CD1"/>
    <w:rsid w:val="00DA0446"/>
    <w:rsid w:val="00DA0BC1"/>
    <w:rsid w:val="00DA116F"/>
    <w:rsid w:val="00DA17E9"/>
    <w:rsid w:val="00DA1CB5"/>
    <w:rsid w:val="00DA2405"/>
    <w:rsid w:val="00DA2ABE"/>
    <w:rsid w:val="00DA2BD3"/>
    <w:rsid w:val="00DA3393"/>
    <w:rsid w:val="00DA3869"/>
    <w:rsid w:val="00DA38D4"/>
    <w:rsid w:val="00DA3C5F"/>
    <w:rsid w:val="00DA3DE7"/>
    <w:rsid w:val="00DA4757"/>
    <w:rsid w:val="00DA48DE"/>
    <w:rsid w:val="00DA51DA"/>
    <w:rsid w:val="00DA66FA"/>
    <w:rsid w:val="00DA6AA3"/>
    <w:rsid w:val="00DA6ED1"/>
    <w:rsid w:val="00DA704E"/>
    <w:rsid w:val="00DA753E"/>
    <w:rsid w:val="00DA77D9"/>
    <w:rsid w:val="00DA7B6A"/>
    <w:rsid w:val="00DB1238"/>
    <w:rsid w:val="00DB164C"/>
    <w:rsid w:val="00DB17C9"/>
    <w:rsid w:val="00DB3A2F"/>
    <w:rsid w:val="00DB44CC"/>
    <w:rsid w:val="00DB4BC0"/>
    <w:rsid w:val="00DB4C6F"/>
    <w:rsid w:val="00DB586A"/>
    <w:rsid w:val="00DB5BA6"/>
    <w:rsid w:val="00DB62F7"/>
    <w:rsid w:val="00DB6676"/>
    <w:rsid w:val="00DB69E2"/>
    <w:rsid w:val="00DB72CE"/>
    <w:rsid w:val="00DB79C8"/>
    <w:rsid w:val="00DC0030"/>
    <w:rsid w:val="00DC0109"/>
    <w:rsid w:val="00DC09E7"/>
    <w:rsid w:val="00DC0B2B"/>
    <w:rsid w:val="00DC14A0"/>
    <w:rsid w:val="00DC1BD1"/>
    <w:rsid w:val="00DC1F52"/>
    <w:rsid w:val="00DC20AA"/>
    <w:rsid w:val="00DC2781"/>
    <w:rsid w:val="00DC360C"/>
    <w:rsid w:val="00DC44E8"/>
    <w:rsid w:val="00DC4694"/>
    <w:rsid w:val="00DC5005"/>
    <w:rsid w:val="00DC5BB8"/>
    <w:rsid w:val="00DC6189"/>
    <w:rsid w:val="00DC67A8"/>
    <w:rsid w:val="00DC6ACC"/>
    <w:rsid w:val="00DC736F"/>
    <w:rsid w:val="00DC7A3A"/>
    <w:rsid w:val="00DD00ED"/>
    <w:rsid w:val="00DD0211"/>
    <w:rsid w:val="00DD0510"/>
    <w:rsid w:val="00DD0943"/>
    <w:rsid w:val="00DD0BDD"/>
    <w:rsid w:val="00DD0CE0"/>
    <w:rsid w:val="00DD0F1D"/>
    <w:rsid w:val="00DD136F"/>
    <w:rsid w:val="00DD1AA0"/>
    <w:rsid w:val="00DD1BF3"/>
    <w:rsid w:val="00DD239B"/>
    <w:rsid w:val="00DD283C"/>
    <w:rsid w:val="00DD2F62"/>
    <w:rsid w:val="00DD3161"/>
    <w:rsid w:val="00DD3210"/>
    <w:rsid w:val="00DD334A"/>
    <w:rsid w:val="00DD3799"/>
    <w:rsid w:val="00DD37C1"/>
    <w:rsid w:val="00DD3BC2"/>
    <w:rsid w:val="00DD3EDC"/>
    <w:rsid w:val="00DD40F4"/>
    <w:rsid w:val="00DD4F5E"/>
    <w:rsid w:val="00DD57F9"/>
    <w:rsid w:val="00DD5A37"/>
    <w:rsid w:val="00DD6A54"/>
    <w:rsid w:val="00DD6B0E"/>
    <w:rsid w:val="00DD7AD7"/>
    <w:rsid w:val="00DD7B16"/>
    <w:rsid w:val="00DD7E04"/>
    <w:rsid w:val="00DE28B4"/>
    <w:rsid w:val="00DE2C07"/>
    <w:rsid w:val="00DE2D14"/>
    <w:rsid w:val="00DE3313"/>
    <w:rsid w:val="00DE34A3"/>
    <w:rsid w:val="00DE37CB"/>
    <w:rsid w:val="00DE3883"/>
    <w:rsid w:val="00DE393A"/>
    <w:rsid w:val="00DE57E8"/>
    <w:rsid w:val="00DE5A57"/>
    <w:rsid w:val="00DE5BE3"/>
    <w:rsid w:val="00DE5D9F"/>
    <w:rsid w:val="00DE6505"/>
    <w:rsid w:val="00DE654F"/>
    <w:rsid w:val="00DE720D"/>
    <w:rsid w:val="00DE742D"/>
    <w:rsid w:val="00DE77D1"/>
    <w:rsid w:val="00DE77E5"/>
    <w:rsid w:val="00DE7A76"/>
    <w:rsid w:val="00DF011D"/>
    <w:rsid w:val="00DF02FD"/>
    <w:rsid w:val="00DF07E3"/>
    <w:rsid w:val="00DF0FB2"/>
    <w:rsid w:val="00DF12E2"/>
    <w:rsid w:val="00DF182E"/>
    <w:rsid w:val="00DF1989"/>
    <w:rsid w:val="00DF1A64"/>
    <w:rsid w:val="00DF1F0B"/>
    <w:rsid w:val="00DF3423"/>
    <w:rsid w:val="00DF3ADF"/>
    <w:rsid w:val="00DF3C24"/>
    <w:rsid w:val="00DF4A5A"/>
    <w:rsid w:val="00DF4AE1"/>
    <w:rsid w:val="00DF4DD1"/>
    <w:rsid w:val="00DF505D"/>
    <w:rsid w:val="00DF5FBD"/>
    <w:rsid w:val="00DF5FE9"/>
    <w:rsid w:val="00DF61E6"/>
    <w:rsid w:val="00DF6423"/>
    <w:rsid w:val="00DF6796"/>
    <w:rsid w:val="00DF6970"/>
    <w:rsid w:val="00DF6D45"/>
    <w:rsid w:val="00DF7E65"/>
    <w:rsid w:val="00E0110B"/>
    <w:rsid w:val="00E01639"/>
    <w:rsid w:val="00E01693"/>
    <w:rsid w:val="00E01E38"/>
    <w:rsid w:val="00E01F21"/>
    <w:rsid w:val="00E02B8B"/>
    <w:rsid w:val="00E03DCF"/>
    <w:rsid w:val="00E04421"/>
    <w:rsid w:val="00E04788"/>
    <w:rsid w:val="00E049BA"/>
    <w:rsid w:val="00E04C28"/>
    <w:rsid w:val="00E04ECF"/>
    <w:rsid w:val="00E052F3"/>
    <w:rsid w:val="00E05E03"/>
    <w:rsid w:val="00E0609B"/>
    <w:rsid w:val="00E06C90"/>
    <w:rsid w:val="00E0712B"/>
    <w:rsid w:val="00E071D7"/>
    <w:rsid w:val="00E078ED"/>
    <w:rsid w:val="00E07B8E"/>
    <w:rsid w:val="00E111EB"/>
    <w:rsid w:val="00E12050"/>
    <w:rsid w:val="00E123A0"/>
    <w:rsid w:val="00E12885"/>
    <w:rsid w:val="00E136DA"/>
    <w:rsid w:val="00E139CD"/>
    <w:rsid w:val="00E13A65"/>
    <w:rsid w:val="00E13CA2"/>
    <w:rsid w:val="00E13D36"/>
    <w:rsid w:val="00E13DC3"/>
    <w:rsid w:val="00E14188"/>
    <w:rsid w:val="00E14417"/>
    <w:rsid w:val="00E148ED"/>
    <w:rsid w:val="00E1539C"/>
    <w:rsid w:val="00E153DC"/>
    <w:rsid w:val="00E15E4D"/>
    <w:rsid w:val="00E165BF"/>
    <w:rsid w:val="00E169A0"/>
    <w:rsid w:val="00E1741A"/>
    <w:rsid w:val="00E1776A"/>
    <w:rsid w:val="00E20E12"/>
    <w:rsid w:val="00E214EC"/>
    <w:rsid w:val="00E2227C"/>
    <w:rsid w:val="00E22599"/>
    <w:rsid w:val="00E2280C"/>
    <w:rsid w:val="00E22BC5"/>
    <w:rsid w:val="00E22BD3"/>
    <w:rsid w:val="00E23841"/>
    <w:rsid w:val="00E23EE5"/>
    <w:rsid w:val="00E2454B"/>
    <w:rsid w:val="00E24DD1"/>
    <w:rsid w:val="00E25188"/>
    <w:rsid w:val="00E252BB"/>
    <w:rsid w:val="00E255A7"/>
    <w:rsid w:val="00E25C70"/>
    <w:rsid w:val="00E25FD2"/>
    <w:rsid w:val="00E262BF"/>
    <w:rsid w:val="00E2674B"/>
    <w:rsid w:val="00E267C0"/>
    <w:rsid w:val="00E26905"/>
    <w:rsid w:val="00E26EE0"/>
    <w:rsid w:val="00E27440"/>
    <w:rsid w:val="00E2799C"/>
    <w:rsid w:val="00E279EF"/>
    <w:rsid w:val="00E27D14"/>
    <w:rsid w:val="00E3046F"/>
    <w:rsid w:val="00E307F3"/>
    <w:rsid w:val="00E30B0C"/>
    <w:rsid w:val="00E31229"/>
    <w:rsid w:val="00E31989"/>
    <w:rsid w:val="00E31FC3"/>
    <w:rsid w:val="00E323B1"/>
    <w:rsid w:val="00E325DE"/>
    <w:rsid w:val="00E32AF8"/>
    <w:rsid w:val="00E33414"/>
    <w:rsid w:val="00E349A0"/>
    <w:rsid w:val="00E34ABE"/>
    <w:rsid w:val="00E3523A"/>
    <w:rsid w:val="00E3523F"/>
    <w:rsid w:val="00E3651C"/>
    <w:rsid w:val="00E365C6"/>
    <w:rsid w:val="00E36619"/>
    <w:rsid w:val="00E36763"/>
    <w:rsid w:val="00E36996"/>
    <w:rsid w:val="00E36D48"/>
    <w:rsid w:val="00E3700C"/>
    <w:rsid w:val="00E37232"/>
    <w:rsid w:val="00E37531"/>
    <w:rsid w:val="00E377D9"/>
    <w:rsid w:val="00E37B77"/>
    <w:rsid w:val="00E40EBB"/>
    <w:rsid w:val="00E415D3"/>
    <w:rsid w:val="00E41835"/>
    <w:rsid w:val="00E41BC0"/>
    <w:rsid w:val="00E425E8"/>
    <w:rsid w:val="00E42BC4"/>
    <w:rsid w:val="00E42FE7"/>
    <w:rsid w:val="00E43858"/>
    <w:rsid w:val="00E438D3"/>
    <w:rsid w:val="00E43BA8"/>
    <w:rsid w:val="00E45509"/>
    <w:rsid w:val="00E4553A"/>
    <w:rsid w:val="00E457A0"/>
    <w:rsid w:val="00E4655D"/>
    <w:rsid w:val="00E468C0"/>
    <w:rsid w:val="00E472DA"/>
    <w:rsid w:val="00E50A05"/>
    <w:rsid w:val="00E50B01"/>
    <w:rsid w:val="00E50ECC"/>
    <w:rsid w:val="00E50F86"/>
    <w:rsid w:val="00E511A7"/>
    <w:rsid w:val="00E5155D"/>
    <w:rsid w:val="00E51EA4"/>
    <w:rsid w:val="00E5224A"/>
    <w:rsid w:val="00E52839"/>
    <w:rsid w:val="00E52A0C"/>
    <w:rsid w:val="00E52A81"/>
    <w:rsid w:val="00E52B53"/>
    <w:rsid w:val="00E537DF"/>
    <w:rsid w:val="00E5384A"/>
    <w:rsid w:val="00E53FA6"/>
    <w:rsid w:val="00E542E8"/>
    <w:rsid w:val="00E543A7"/>
    <w:rsid w:val="00E54CD7"/>
    <w:rsid w:val="00E54F06"/>
    <w:rsid w:val="00E55015"/>
    <w:rsid w:val="00E550E6"/>
    <w:rsid w:val="00E55660"/>
    <w:rsid w:val="00E557B1"/>
    <w:rsid w:val="00E55AD2"/>
    <w:rsid w:val="00E560CC"/>
    <w:rsid w:val="00E56196"/>
    <w:rsid w:val="00E5634A"/>
    <w:rsid w:val="00E56720"/>
    <w:rsid w:val="00E57DF1"/>
    <w:rsid w:val="00E57E22"/>
    <w:rsid w:val="00E57ED6"/>
    <w:rsid w:val="00E6044F"/>
    <w:rsid w:val="00E615B9"/>
    <w:rsid w:val="00E61647"/>
    <w:rsid w:val="00E616D8"/>
    <w:rsid w:val="00E61908"/>
    <w:rsid w:val="00E62388"/>
    <w:rsid w:val="00E625F6"/>
    <w:rsid w:val="00E6267F"/>
    <w:rsid w:val="00E62DAA"/>
    <w:rsid w:val="00E63942"/>
    <w:rsid w:val="00E639D9"/>
    <w:rsid w:val="00E63C09"/>
    <w:rsid w:val="00E6434F"/>
    <w:rsid w:val="00E65072"/>
    <w:rsid w:val="00E660A5"/>
    <w:rsid w:val="00E66A29"/>
    <w:rsid w:val="00E66C2D"/>
    <w:rsid w:val="00E6704F"/>
    <w:rsid w:val="00E67A1C"/>
    <w:rsid w:val="00E7005F"/>
    <w:rsid w:val="00E70762"/>
    <w:rsid w:val="00E708F6"/>
    <w:rsid w:val="00E72756"/>
    <w:rsid w:val="00E72DAF"/>
    <w:rsid w:val="00E732F3"/>
    <w:rsid w:val="00E74183"/>
    <w:rsid w:val="00E74DE2"/>
    <w:rsid w:val="00E74E9E"/>
    <w:rsid w:val="00E74EB9"/>
    <w:rsid w:val="00E74FC8"/>
    <w:rsid w:val="00E750A6"/>
    <w:rsid w:val="00E751DE"/>
    <w:rsid w:val="00E75B2B"/>
    <w:rsid w:val="00E767BC"/>
    <w:rsid w:val="00E76B9F"/>
    <w:rsid w:val="00E76E41"/>
    <w:rsid w:val="00E76E4E"/>
    <w:rsid w:val="00E76EDF"/>
    <w:rsid w:val="00E772B5"/>
    <w:rsid w:val="00E77B9D"/>
    <w:rsid w:val="00E77FD4"/>
    <w:rsid w:val="00E80038"/>
    <w:rsid w:val="00E80600"/>
    <w:rsid w:val="00E80CA1"/>
    <w:rsid w:val="00E80F23"/>
    <w:rsid w:val="00E81DA9"/>
    <w:rsid w:val="00E820B3"/>
    <w:rsid w:val="00E82281"/>
    <w:rsid w:val="00E824EB"/>
    <w:rsid w:val="00E82F2A"/>
    <w:rsid w:val="00E83CB6"/>
    <w:rsid w:val="00E84DCC"/>
    <w:rsid w:val="00E85A96"/>
    <w:rsid w:val="00E861FC"/>
    <w:rsid w:val="00E8728A"/>
    <w:rsid w:val="00E8797E"/>
    <w:rsid w:val="00E87A96"/>
    <w:rsid w:val="00E87C3C"/>
    <w:rsid w:val="00E87C98"/>
    <w:rsid w:val="00E87CB4"/>
    <w:rsid w:val="00E87DB8"/>
    <w:rsid w:val="00E91005"/>
    <w:rsid w:val="00E916AA"/>
    <w:rsid w:val="00E91969"/>
    <w:rsid w:val="00E925B5"/>
    <w:rsid w:val="00E92FEF"/>
    <w:rsid w:val="00E93151"/>
    <w:rsid w:val="00E933A5"/>
    <w:rsid w:val="00E93827"/>
    <w:rsid w:val="00E93AF0"/>
    <w:rsid w:val="00E93DBF"/>
    <w:rsid w:val="00E93F32"/>
    <w:rsid w:val="00E94894"/>
    <w:rsid w:val="00E94D1B"/>
    <w:rsid w:val="00E954AF"/>
    <w:rsid w:val="00E954DF"/>
    <w:rsid w:val="00E95D83"/>
    <w:rsid w:val="00E9645B"/>
    <w:rsid w:val="00E96FC3"/>
    <w:rsid w:val="00E97D88"/>
    <w:rsid w:val="00E97DB4"/>
    <w:rsid w:val="00EA026C"/>
    <w:rsid w:val="00EA0C4E"/>
    <w:rsid w:val="00EA0F82"/>
    <w:rsid w:val="00EA15B3"/>
    <w:rsid w:val="00EA1872"/>
    <w:rsid w:val="00EA1A51"/>
    <w:rsid w:val="00EA1BB3"/>
    <w:rsid w:val="00EA1E4A"/>
    <w:rsid w:val="00EA1F89"/>
    <w:rsid w:val="00EA2300"/>
    <w:rsid w:val="00EA2AB2"/>
    <w:rsid w:val="00EA2D6E"/>
    <w:rsid w:val="00EA2DF9"/>
    <w:rsid w:val="00EA336C"/>
    <w:rsid w:val="00EA3D90"/>
    <w:rsid w:val="00EA3F58"/>
    <w:rsid w:val="00EA4781"/>
    <w:rsid w:val="00EA47DD"/>
    <w:rsid w:val="00EA561A"/>
    <w:rsid w:val="00EA5BBB"/>
    <w:rsid w:val="00EA611F"/>
    <w:rsid w:val="00EA638C"/>
    <w:rsid w:val="00EA66B4"/>
    <w:rsid w:val="00EA77FE"/>
    <w:rsid w:val="00EA7ED8"/>
    <w:rsid w:val="00EA7FEB"/>
    <w:rsid w:val="00EB0BE4"/>
    <w:rsid w:val="00EB0EAC"/>
    <w:rsid w:val="00EB1E01"/>
    <w:rsid w:val="00EB26AC"/>
    <w:rsid w:val="00EB28A5"/>
    <w:rsid w:val="00EB2FD3"/>
    <w:rsid w:val="00EB32A2"/>
    <w:rsid w:val="00EB33B4"/>
    <w:rsid w:val="00EB3E56"/>
    <w:rsid w:val="00EB41B7"/>
    <w:rsid w:val="00EB425D"/>
    <w:rsid w:val="00EB45B8"/>
    <w:rsid w:val="00EB5EB1"/>
    <w:rsid w:val="00EB5FAB"/>
    <w:rsid w:val="00EB700C"/>
    <w:rsid w:val="00EB7085"/>
    <w:rsid w:val="00EB72FB"/>
    <w:rsid w:val="00EB7660"/>
    <w:rsid w:val="00EB7866"/>
    <w:rsid w:val="00EB7A80"/>
    <w:rsid w:val="00EB7CA6"/>
    <w:rsid w:val="00EC00DE"/>
    <w:rsid w:val="00EC0837"/>
    <w:rsid w:val="00EC09B7"/>
    <w:rsid w:val="00EC11A7"/>
    <w:rsid w:val="00EC1670"/>
    <w:rsid w:val="00EC1725"/>
    <w:rsid w:val="00EC1C49"/>
    <w:rsid w:val="00EC39AC"/>
    <w:rsid w:val="00EC4012"/>
    <w:rsid w:val="00EC431B"/>
    <w:rsid w:val="00EC43B9"/>
    <w:rsid w:val="00EC46F1"/>
    <w:rsid w:val="00EC4B33"/>
    <w:rsid w:val="00EC4FD3"/>
    <w:rsid w:val="00EC523A"/>
    <w:rsid w:val="00EC6136"/>
    <w:rsid w:val="00EC6536"/>
    <w:rsid w:val="00EC6C2E"/>
    <w:rsid w:val="00EC6E5A"/>
    <w:rsid w:val="00EC6F6D"/>
    <w:rsid w:val="00EC7F15"/>
    <w:rsid w:val="00ED033A"/>
    <w:rsid w:val="00ED0957"/>
    <w:rsid w:val="00ED0C00"/>
    <w:rsid w:val="00ED0CBB"/>
    <w:rsid w:val="00ED10D7"/>
    <w:rsid w:val="00ED1619"/>
    <w:rsid w:val="00ED1968"/>
    <w:rsid w:val="00ED1F9C"/>
    <w:rsid w:val="00ED2591"/>
    <w:rsid w:val="00ED2686"/>
    <w:rsid w:val="00ED33EE"/>
    <w:rsid w:val="00ED44F9"/>
    <w:rsid w:val="00ED4D7D"/>
    <w:rsid w:val="00ED4E2B"/>
    <w:rsid w:val="00ED508C"/>
    <w:rsid w:val="00ED5157"/>
    <w:rsid w:val="00ED54D1"/>
    <w:rsid w:val="00ED5CE2"/>
    <w:rsid w:val="00ED70F1"/>
    <w:rsid w:val="00ED7696"/>
    <w:rsid w:val="00ED778B"/>
    <w:rsid w:val="00ED7F06"/>
    <w:rsid w:val="00EE0169"/>
    <w:rsid w:val="00EE0B68"/>
    <w:rsid w:val="00EE119F"/>
    <w:rsid w:val="00EE13B0"/>
    <w:rsid w:val="00EE1B8D"/>
    <w:rsid w:val="00EE2032"/>
    <w:rsid w:val="00EE24F5"/>
    <w:rsid w:val="00EE2E4D"/>
    <w:rsid w:val="00EE3008"/>
    <w:rsid w:val="00EE3101"/>
    <w:rsid w:val="00EE31F5"/>
    <w:rsid w:val="00EE3F13"/>
    <w:rsid w:val="00EE5129"/>
    <w:rsid w:val="00EE529C"/>
    <w:rsid w:val="00EE54B1"/>
    <w:rsid w:val="00EE5FF1"/>
    <w:rsid w:val="00EE6031"/>
    <w:rsid w:val="00EE69CC"/>
    <w:rsid w:val="00EE69EE"/>
    <w:rsid w:val="00EE6AFC"/>
    <w:rsid w:val="00EE6E3B"/>
    <w:rsid w:val="00EE7AE9"/>
    <w:rsid w:val="00EE7D51"/>
    <w:rsid w:val="00EF00CA"/>
    <w:rsid w:val="00EF06CE"/>
    <w:rsid w:val="00EF0947"/>
    <w:rsid w:val="00EF0E76"/>
    <w:rsid w:val="00EF1217"/>
    <w:rsid w:val="00EF138C"/>
    <w:rsid w:val="00EF1C0D"/>
    <w:rsid w:val="00EF1CBD"/>
    <w:rsid w:val="00EF27E8"/>
    <w:rsid w:val="00EF360B"/>
    <w:rsid w:val="00EF3ADF"/>
    <w:rsid w:val="00EF3D39"/>
    <w:rsid w:val="00EF43EC"/>
    <w:rsid w:val="00EF46E2"/>
    <w:rsid w:val="00EF4C95"/>
    <w:rsid w:val="00EF4F8E"/>
    <w:rsid w:val="00EF541B"/>
    <w:rsid w:val="00EF55A6"/>
    <w:rsid w:val="00EF6391"/>
    <w:rsid w:val="00EF64F3"/>
    <w:rsid w:val="00EF6985"/>
    <w:rsid w:val="00EF774E"/>
    <w:rsid w:val="00EF7BA6"/>
    <w:rsid w:val="00EF7FC3"/>
    <w:rsid w:val="00F00142"/>
    <w:rsid w:val="00F004C2"/>
    <w:rsid w:val="00F00E41"/>
    <w:rsid w:val="00F010C4"/>
    <w:rsid w:val="00F013B1"/>
    <w:rsid w:val="00F01716"/>
    <w:rsid w:val="00F0256E"/>
    <w:rsid w:val="00F02746"/>
    <w:rsid w:val="00F02B7D"/>
    <w:rsid w:val="00F0333F"/>
    <w:rsid w:val="00F03697"/>
    <w:rsid w:val="00F046DB"/>
    <w:rsid w:val="00F059A4"/>
    <w:rsid w:val="00F06111"/>
    <w:rsid w:val="00F06C03"/>
    <w:rsid w:val="00F078AC"/>
    <w:rsid w:val="00F078C2"/>
    <w:rsid w:val="00F07DBA"/>
    <w:rsid w:val="00F07E25"/>
    <w:rsid w:val="00F10802"/>
    <w:rsid w:val="00F10977"/>
    <w:rsid w:val="00F11109"/>
    <w:rsid w:val="00F113EA"/>
    <w:rsid w:val="00F11C42"/>
    <w:rsid w:val="00F11DAC"/>
    <w:rsid w:val="00F11FE1"/>
    <w:rsid w:val="00F129F5"/>
    <w:rsid w:val="00F13117"/>
    <w:rsid w:val="00F1350A"/>
    <w:rsid w:val="00F13EC1"/>
    <w:rsid w:val="00F13FE7"/>
    <w:rsid w:val="00F148B1"/>
    <w:rsid w:val="00F14AD9"/>
    <w:rsid w:val="00F14B71"/>
    <w:rsid w:val="00F154B4"/>
    <w:rsid w:val="00F15599"/>
    <w:rsid w:val="00F15C0D"/>
    <w:rsid w:val="00F15C14"/>
    <w:rsid w:val="00F1658A"/>
    <w:rsid w:val="00F17CE5"/>
    <w:rsid w:val="00F2081F"/>
    <w:rsid w:val="00F20FFF"/>
    <w:rsid w:val="00F2112F"/>
    <w:rsid w:val="00F21144"/>
    <w:rsid w:val="00F215B1"/>
    <w:rsid w:val="00F21A5A"/>
    <w:rsid w:val="00F227C4"/>
    <w:rsid w:val="00F23703"/>
    <w:rsid w:val="00F2408A"/>
    <w:rsid w:val="00F260A2"/>
    <w:rsid w:val="00F2644A"/>
    <w:rsid w:val="00F278A3"/>
    <w:rsid w:val="00F30518"/>
    <w:rsid w:val="00F30CC4"/>
    <w:rsid w:val="00F312D5"/>
    <w:rsid w:val="00F314C1"/>
    <w:rsid w:val="00F31BC6"/>
    <w:rsid w:val="00F32089"/>
    <w:rsid w:val="00F3258A"/>
    <w:rsid w:val="00F326C4"/>
    <w:rsid w:val="00F32B11"/>
    <w:rsid w:val="00F32E73"/>
    <w:rsid w:val="00F33141"/>
    <w:rsid w:val="00F33344"/>
    <w:rsid w:val="00F3406F"/>
    <w:rsid w:val="00F35090"/>
    <w:rsid w:val="00F3517E"/>
    <w:rsid w:val="00F354B1"/>
    <w:rsid w:val="00F36B5B"/>
    <w:rsid w:val="00F37511"/>
    <w:rsid w:val="00F37D4B"/>
    <w:rsid w:val="00F4001A"/>
    <w:rsid w:val="00F40191"/>
    <w:rsid w:val="00F40813"/>
    <w:rsid w:val="00F415B9"/>
    <w:rsid w:val="00F4198A"/>
    <w:rsid w:val="00F41DD7"/>
    <w:rsid w:val="00F424A0"/>
    <w:rsid w:val="00F43422"/>
    <w:rsid w:val="00F4359C"/>
    <w:rsid w:val="00F447F3"/>
    <w:rsid w:val="00F44DC9"/>
    <w:rsid w:val="00F451ED"/>
    <w:rsid w:val="00F46449"/>
    <w:rsid w:val="00F4657B"/>
    <w:rsid w:val="00F47045"/>
    <w:rsid w:val="00F4758C"/>
    <w:rsid w:val="00F475B7"/>
    <w:rsid w:val="00F475FD"/>
    <w:rsid w:val="00F47C98"/>
    <w:rsid w:val="00F47D24"/>
    <w:rsid w:val="00F47DCB"/>
    <w:rsid w:val="00F47F1C"/>
    <w:rsid w:val="00F47F2E"/>
    <w:rsid w:val="00F50FE4"/>
    <w:rsid w:val="00F51026"/>
    <w:rsid w:val="00F52CC3"/>
    <w:rsid w:val="00F52F9F"/>
    <w:rsid w:val="00F53092"/>
    <w:rsid w:val="00F53426"/>
    <w:rsid w:val="00F53ACA"/>
    <w:rsid w:val="00F53C67"/>
    <w:rsid w:val="00F542A0"/>
    <w:rsid w:val="00F54445"/>
    <w:rsid w:val="00F54545"/>
    <w:rsid w:val="00F54813"/>
    <w:rsid w:val="00F5543A"/>
    <w:rsid w:val="00F55994"/>
    <w:rsid w:val="00F55A98"/>
    <w:rsid w:val="00F5700B"/>
    <w:rsid w:val="00F5756E"/>
    <w:rsid w:val="00F57A63"/>
    <w:rsid w:val="00F57E10"/>
    <w:rsid w:val="00F60245"/>
    <w:rsid w:val="00F60BEB"/>
    <w:rsid w:val="00F60F6B"/>
    <w:rsid w:val="00F62013"/>
    <w:rsid w:val="00F62264"/>
    <w:rsid w:val="00F622A6"/>
    <w:rsid w:val="00F626AC"/>
    <w:rsid w:val="00F632CC"/>
    <w:rsid w:val="00F63646"/>
    <w:rsid w:val="00F636E6"/>
    <w:rsid w:val="00F63B18"/>
    <w:rsid w:val="00F650B8"/>
    <w:rsid w:val="00F65604"/>
    <w:rsid w:val="00F65B0A"/>
    <w:rsid w:val="00F65FBF"/>
    <w:rsid w:val="00F662CD"/>
    <w:rsid w:val="00F6684F"/>
    <w:rsid w:val="00F66B0B"/>
    <w:rsid w:val="00F6782D"/>
    <w:rsid w:val="00F67BEC"/>
    <w:rsid w:val="00F67CC7"/>
    <w:rsid w:val="00F67CF6"/>
    <w:rsid w:val="00F701E1"/>
    <w:rsid w:val="00F7074F"/>
    <w:rsid w:val="00F708ED"/>
    <w:rsid w:val="00F716E5"/>
    <w:rsid w:val="00F72008"/>
    <w:rsid w:val="00F72AFC"/>
    <w:rsid w:val="00F72D43"/>
    <w:rsid w:val="00F7374F"/>
    <w:rsid w:val="00F74279"/>
    <w:rsid w:val="00F7526C"/>
    <w:rsid w:val="00F75C08"/>
    <w:rsid w:val="00F7658F"/>
    <w:rsid w:val="00F76CD9"/>
    <w:rsid w:val="00F76D74"/>
    <w:rsid w:val="00F770A6"/>
    <w:rsid w:val="00F7739F"/>
    <w:rsid w:val="00F77901"/>
    <w:rsid w:val="00F77B97"/>
    <w:rsid w:val="00F77D8C"/>
    <w:rsid w:val="00F800BE"/>
    <w:rsid w:val="00F81647"/>
    <w:rsid w:val="00F81D23"/>
    <w:rsid w:val="00F82BC6"/>
    <w:rsid w:val="00F82F0B"/>
    <w:rsid w:val="00F82F98"/>
    <w:rsid w:val="00F831A8"/>
    <w:rsid w:val="00F833AA"/>
    <w:rsid w:val="00F83819"/>
    <w:rsid w:val="00F842E4"/>
    <w:rsid w:val="00F844F3"/>
    <w:rsid w:val="00F8484D"/>
    <w:rsid w:val="00F85C15"/>
    <w:rsid w:val="00F86626"/>
    <w:rsid w:val="00F86DFD"/>
    <w:rsid w:val="00F87477"/>
    <w:rsid w:val="00F87717"/>
    <w:rsid w:val="00F9037C"/>
    <w:rsid w:val="00F90766"/>
    <w:rsid w:val="00F9146A"/>
    <w:rsid w:val="00F917BC"/>
    <w:rsid w:val="00F91947"/>
    <w:rsid w:val="00F91C85"/>
    <w:rsid w:val="00F91DDB"/>
    <w:rsid w:val="00F93031"/>
    <w:rsid w:val="00F934F5"/>
    <w:rsid w:val="00F93777"/>
    <w:rsid w:val="00F9499A"/>
    <w:rsid w:val="00F94A55"/>
    <w:rsid w:val="00F9514E"/>
    <w:rsid w:val="00F9559D"/>
    <w:rsid w:val="00F955E5"/>
    <w:rsid w:val="00F956B7"/>
    <w:rsid w:val="00F95D06"/>
    <w:rsid w:val="00F95FC3"/>
    <w:rsid w:val="00F964BD"/>
    <w:rsid w:val="00F96F52"/>
    <w:rsid w:val="00F96FA7"/>
    <w:rsid w:val="00F9768D"/>
    <w:rsid w:val="00F9793A"/>
    <w:rsid w:val="00F97D7D"/>
    <w:rsid w:val="00F97EE5"/>
    <w:rsid w:val="00FA04A7"/>
    <w:rsid w:val="00FA0A35"/>
    <w:rsid w:val="00FA0E97"/>
    <w:rsid w:val="00FA0F70"/>
    <w:rsid w:val="00FA14C2"/>
    <w:rsid w:val="00FA18B6"/>
    <w:rsid w:val="00FA198E"/>
    <w:rsid w:val="00FA1DC1"/>
    <w:rsid w:val="00FA1F12"/>
    <w:rsid w:val="00FA4A31"/>
    <w:rsid w:val="00FA54D7"/>
    <w:rsid w:val="00FA5A5E"/>
    <w:rsid w:val="00FA6474"/>
    <w:rsid w:val="00FA6824"/>
    <w:rsid w:val="00FA69B0"/>
    <w:rsid w:val="00FA738D"/>
    <w:rsid w:val="00FA7577"/>
    <w:rsid w:val="00FB0002"/>
    <w:rsid w:val="00FB0520"/>
    <w:rsid w:val="00FB06F8"/>
    <w:rsid w:val="00FB08D1"/>
    <w:rsid w:val="00FB0D9F"/>
    <w:rsid w:val="00FB1DE2"/>
    <w:rsid w:val="00FB1E73"/>
    <w:rsid w:val="00FB22EC"/>
    <w:rsid w:val="00FB23FB"/>
    <w:rsid w:val="00FB2596"/>
    <w:rsid w:val="00FB2CA0"/>
    <w:rsid w:val="00FB30AB"/>
    <w:rsid w:val="00FB3583"/>
    <w:rsid w:val="00FB3659"/>
    <w:rsid w:val="00FB3D15"/>
    <w:rsid w:val="00FB46A1"/>
    <w:rsid w:val="00FB4A6E"/>
    <w:rsid w:val="00FB56CA"/>
    <w:rsid w:val="00FB5FE8"/>
    <w:rsid w:val="00FB6444"/>
    <w:rsid w:val="00FB69E2"/>
    <w:rsid w:val="00FB6B15"/>
    <w:rsid w:val="00FB6BC4"/>
    <w:rsid w:val="00FB7E67"/>
    <w:rsid w:val="00FC0707"/>
    <w:rsid w:val="00FC0A37"/>
    <w:rsid w:val="00FC145C"/>
    <w:rsid w:val="00FC1EBE"/>
    <w:rsid w:val="00FC1F1A"/>
    <w:rsid w:val="00FC21AD"/>
    <w:rsid w:val="00FC2257"/>
    <w:rsid w:val="00FC26E0"/>
    <w:rsid w:val="00FC2EEE"/>
    <w:rsid w:val="00FC3A27"/>
    <w:rsid w:val="00FC475F"/>
    <w:rsid w:val="00FC4C2E"/>
    <w:rsid w:val="00FC4ECA"/>
    <w:rsid w:val="00FC522C"/>
    <w:rsid w:val="00FC5881"/>
    <w:rsid w:val="00FC7596"/>
    <w:rsid w:val="00FC7BF8"/>
    <w:rsid w:val="00FC7C2A"/>
    <w:rsid w:val="00FD01CD"/>
    <w:rsid w:val="00FD064D"/>
    <w:rsid w:val="00FD0A26"/>
    <w:rsid w:val="00FD0F5E"/>
    <w:rsid w:val="00FD1082"/>
    <w:rsid w:val="00FD1100"/>
    <w:rsid w:val="00FD1D00"/>
    <w:rsid w:val="00FD2723"/>
    <w:rsid w:val="00FD292D"/>
    <w:rsid w:val="00FD2B79"/>
    <w:rsid w:val="00FD2F3E"/>
    <w:rsid w:val="00FD3206"/>
    <w:rsid w:val="00FD383E"/>
    <w:rsid w:val="00FD3954"/>
    <w:rsid w:val="00FD3FF9"/>
    <w:rsid w:val="00FD4283"/>
    <w:rsid w:val="00FD48C4"/>
    <w:rsid w:val="00FD4943"/>
    <w:rsid w:val="00FD4EA1"/>
    <w:rsid w:val="00FD5A8D"/>
    <w:rsid w:val="00FD5BF4"/>
    <w:rsid w:val="00FD6157"/>
    <w:rsid w:val="00FD6C0A"/>
    <w:rsid w:val="00FD76D1"/>
    <w:rsid w:val="00FD7D3C"/>
    <w:rsid w:val="00FD7FBC"/>
    <w:rsid w:val="00FD7FE3"/>
    <w:rsid w:val="00FE029F"/>
    <w:rsid w:val="00FE097A"/>
    <w:rsid w:val="00FE0BA3"/>
    <w:rsid w:val="00FE1574"/>
    <w:rsid w:val="00FE1AAB"/>
    <w:rsid w:val="00FE1C84"/>
    <w:rsid w:val="00FE230B"/>
    <w:rsid w:val="00FE2DB8"/>
    <w:rsid w:val="00FE2F8E"/>
    <w:rsid w:val="00FE4476"/>
    <w:rsid w:val="00FE4B02"/>
    <w:rsid w:val="00FE57E3"/>
    <w:rsid w:val="00FE5D03"/>
    <w:rsid w:val="00FE6134"/>
    <w:rsid w:val="00FE6312"/>
    <w:rsid w:val="00FE77CE"/>
    <w:rsid w:val="00FE798D"/>
    <w:rsid w:val="00FF0664"/>
    <w:rsid w:val="00FF0D84"/>
    <w:rsid w:val="00FF0F50"/>
    <w:rsid w:val="00FF166F"/>
    <w:rsid w:val="00FF16F9"/>
    <w:rsid w:val="00FF17AF"/>
    <w:rsid w:val="00FF18DE"/>
    <w:rsid w:val="00FF1D52"/>
    <w:rsid w:val="00FF2828"/>
    <w:rsid w:val="00FF313D"/>
    <w:rsid w:val="00FF4B6C"/>
    <w:rsid w:val="00FF4EBB"/>
    <w:rsid w:val="00FF5226"/>
    <w:rsid w:val="00FF5900"/>
    <w:rsid w:val="00FF625E"/>
    <w:rsid w:val="00FF62C1"/>
    <w:rsid w:val="00FF7915"/>
    <w:rsid w:val="00FF7961"/>
    <w:rsid w:val="44210924"/>
    <w:rsid w:val="50E92A6D"/>
    <w:rsid w:val="666D3F75"/>
    <w:rsid w:val="73B113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uppressAutoHyphens/>
      <w:ind w:firstLine="420" w:firstLineChars="200"/>
    </w:pPr>
    <w:rPr>
      <w:rFonts w:ascii="Calibri" w:hAnsi="Calibri"/>
    </w:rPr>
  </w:style>
  <w:style w:type="paragraph" w:styleId="3">
    <w:name w:val="Document Map"/>
    <w:basedOn w:val="1"/>
    <w:link w:val="39"/>
    <w:uiPriority w:val="0"/>
    <w:rPr>
      <w:rFonts w:ascii="宋体"/>
      <w:sz w:val="18"/>
      <w:szCs w:val="18"/>
    </w:rPr>
  </w:style>
  <w:style w:type="paragraph" w:styleId="4">
    <w:name w:val="Body Text"/>
    <w:basedOn w:val="1"/>
    <w:qFormat/>
    <w:uiPriority w:val="0"/>
    <w:pPr>
      <w:spacing w:line="590" w:lineRule="exact"/>
    </w:pPr>
    <w:rPr>
      <w:rFonts w:eastAsia="仿宋_GB2312"/>
      <w:spacing w:val="-6"/>
      <w:sz w:val="32"/>
      <w:szCs w:val="20"/>
    </w:rPr>
  </w:style>
  <w:style w:type="paragraph" w:styleId="5">
    <w:name w:val="Body Text Indent"/>
    <w:basedOn w:val="1"/>
    <w:link w:val="41"/>
    <w:qFormat/>
    <w:uiPriority w:val="0"/>
    <w:pPr>
      <w:spacing w:line="530" w:lineRule="exact"/>
      <w:ind w:firstLine="600"/>
    </w:pPr>
    <w:rPr>
      <w:rFonts w:eastAsia="仿宋_GB2312"/>
      <w:spacing w:val="-10"/>
      <w:sz w:val="32"/>
      <w:szCs w:val="20"/>
    </w:rPr>
  </w:style>
  <w:style w:type="paragraph" w:styleId="6">
    <w:name w:val="Plain Text"/>
    <w:basedOn w:val="1"/>
    <w:link w:val="36"/>
    <w:uiPriority w:val="0"/>
    <w:rPr>
      <w:rFonts w:ascii="宋体" w:hAnsi="Courier New" w:cs="Courier New"/>
      <w:szCs w:val="21"/>
    </w:rPr>
  </w:style>
  <w:style w:type="paragraph" w:styleId="7">
    <w:name w:val="Date"/>
    <w:basedOn w:val="1"/>
    <w:next w:val="1"/>
    <w:link w:val="38"/>
    <w:qFormat/>
    <w:uiPriority w:val="0"/>
    <w:pPr>
      <w:ind w:left="100" w:leftChars="2500"/>
    </w:pPr>
  </w:style>
  <w:style w:type="paragraph" w:styleId="8">
    <w:name w:val="Balloon Text"/>
    <w:basedOn w:val="1"/>
    <w:link w:val="22"/>
    <w:unhideWhenUsed/>
    <w:qFormat/>
    <w:uiPriority w:val="99"/>
    <w:pPr>
      <w:widowControl/>
      <w:adjustRightInd w:val="0"/>
      <w:snapToGrid w:val="0"/>
      <w:jc w:val="left"/>
    </w:pPr>
    <w:rPr>
      <w:rFonts w:ascii="Tahoma" w:hAnsi="Tahoma" w:eastAsia="微软雅黑" w:cstheme="minorBidi"/>
      <w:kern w:val="0"/>
      <w:sz w:val="18"/>
      <w:szCs w:val="18"/>
    </w:rPr>
  </w:style>
  <w:style w:type="paragraph" w:styleId="9">
    <w:name w:val="footer"/>
    <w:basedOn w:val="1"/>
    <w:link w:val="24"/>
    <w:uiPriority w:val="99"/>
    <w:pPr>
      <w:tabs>
        <w:tab w:val="center" w:pos="4153"/>
        <w:tab w:val="right" w:pos="8306"/>
      </w:tabs>
      <w:snapToGrid w:val="0"/>
      <w:jc w:val="left"/>
    </w:pPr>
    <w:rPr>
      <w:sz w:val="18"/>
      <w:szCs w:val="18"/>
    </w:rPr>
  </w:style>
  <w:style w:type="paragraph" w:styleId="10">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40"/>
    <w:uiPriority w:val="0"/>
    <w:pPr>
      <w:snapToGrid w:val="0"/>
      <w:jc w:val="left"/>
    </w:pPr>
    <w:rPr>
      <w:rFonts w:ascii="Calibri" w:hAnsi="Calibri"/>
      <w:sz w:val="18"/>
    </w:rPr>
  </w:style>
  <w:style w:type="paragraph" w:styleId="12">
    <w:name w:val="Normal (Web)"/>
    <w:basedOn w:val="1"/>
    <w:qFormat/>
    <w:uiPriority w:val="0"/>
    <w:pPr>
      <w:spacing w:before="100" w:beforeAutospacing="1" w:after="100" w:afterAutospacing="1"/>
      <w:jc w:val="left"/>
    </w:pPr>
    <w:rPr>
      <w:rFonts w:ascii="Calibri" w:hAnsi="Calibri"/>
      <w:kern w:val="0"/>
      <w:sz w:val="24"/>
    </w:rPr>
  </w:style>
  <w:style w:type="paragraph" w:styleId="13">
    <w:name w:val="Body Text First Indent 2"/>
    <w:basedOn w:val="5"/>
    <w:link w:val="42"/>
    <w:unhideWhenUsed/>
    <w:uiPriority w:val="99"/>
    <w:pPr>
      <w:spacing w:after="120" w:line="240" w:lineRule="auto"/>
      <w:ind w:left="420" w:leftChars="200" w:firstLine="420" w:firstLineChars="200"/>
    </w:pPr>
    <w:rPr>
      <w:rFonts w:asciiTheme="minorHAnsi" w:hAnsiTheme="minorHAnsi" w:eastAsiaTheme="minorEastAsia" w:cstheme="minorBidi"/>
      <w:spacing w:val="0"/>
      <w:sz w:val="21"/>
      <w:szCs w:val="22"/>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page number"/>
    <w:basedOn w:val="16"/>
    <w:uiPriority w:val="0"/>
  </w:style>
  <w:style w:type="character" w:styleId="19">
    <w:name w:val="HTML Typewriter"/>
    <w:unhideWhenUsed/>
    <w:qFormat/>
    <w:uiPriority w:val="0"/>
    <w:rPr>
      <w:rFonts w:hint="eastAsia" w:ascii="黑体" w:hAnsi="Courier New" w:eastAsia="黑体" w:cs="Courier New"/>
      <w:sz w:val="24"/>
      <w:szCs w:val="24"/>
    </w:rPr>
  </w:style>
  <w:style w:type="character" w:styleId="20">
    <w:name w:val="footnote reference"/>
    <w:basedOn w:val="16"/>
    <w:qFormat/>
    <w:uiPriority w:val="0"/>
    <w:rPr>
      <w:vertAlign w:val="superscript"/>
    </w:rPr>
  </w:style>
  <w:style w:type="paragraph" w:customStyle="1" w:styleId="21">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2">
    <w:name w:val="批注框文本 Char"/>
    <w:basedOn w:val="16"/>
    <w:link w:val="8"/>
    <w:uiPriority w:val="99"/>
    <w:rPr>
      <w:rFonts w:ascii="Tahoma" w:hAnsi="Tahoma" w:eastAsia="微软雅黑" w:cstheme="minorBidi"/>
      <w:sz w:val="18"/>
      <w:szCs w:val="18"/>
    </w:rPr>
  </w:style>
  <w:style w:type="character" w:customStyle="1" w:styleId="23">
    <w:name w:val="页眉 Char"/>
    <w:basedOn w:val="16"/>
    <w:link w:val="10"/>
    <w:uiPriority w:val="99"/>
    <w:rPr>
      <w:kern w:val="2"/>
      <w:sz w:val="18"/>
      <w:szCs w:val="18"/>
    </w:rPr>
  </w:style>
  <w:style w:type="character" w:customStyle="1" w:styleId="24">
    <w:name w:val="页脚 Char"/>
    <w:basedOn w:val="16"/>
    <w:link w:val="9"/>
    <w:uiPriority w:val="99"/>
    <w:rPr>
      <w:kern w:val="2"/>
      <w:sz w:val="18"/>
      <w:szCs w:val="18"/>
    </w:rPr>
  </w:style>
  <w:style w:type="paragraph" w:customStyle="1" w:styleId="2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
    <w:name w:val="xl72"/>
    <w:basedOn w:val="1"/>
    <w:uiPriority w:val="0"/>
    <w:pPr>
      <w:widowControl/>
      <w:spacing w:before="100" w:beforeAutospacing="1" w:after="100" w:afterAutospacing="1"/>
      <w:jc w:val="left"/>
    </w:pPr>
    <w:rPr>
      <w:rFonts w:ascii="宋体" w:hAnsi="宋体" w:cs="宋体"/>
      <w:b/>
      <w:bCs/>
      <w:color w:val="000000"/>
      <w:kern w:val="0"/>
      <w:sz w:val="24"/>
    </w:rPr>
  </w:style>
  <w:style w:type="paragraph" w:customStyle="1" w:styleId="27">
    <w:name w:val="xl73"/>
    <w:basedOn w:val="1"/>
    <w:qFormat/>
    <w:uiPriority w:val="0"/>
    <w:pPr>
      <w:widowControl/>
      <w:spacing w:before="100" w:beforeAutospacing="1" w:after="100" w:afterAutospacing="1"/>
      <w:jc w:val="left"/>
    </w:pPr>
    <w:rPr>
      <w:rFonts w:ascii="宋体" w:hAnsi="宋体" w:cs="宋体"/>
      <w:b/>
      <w:bCs/>
      <w:color w:val="FF0000"/>
      <w:kern w:val="0"/>
      <w:sz w:val="24"/>
    </w:rPr>
  </w:style>
  <w:style w:type="paragraph" w:customStyle="1" w:styleId="28">
    <w:name w:val="xl74"/>
    <w:basedOn w:val="1"/>
    <w:uiPriority w:val="0"/>
    <w:pPr>
      <w:widowControl/>
      <w:spacing w:before="100" w:beforeAutospacing="1" w:after="100" w:afterAutospacing="1"/>
      <w:jc w:val="left"/>
    </w:pPr>
    <w:rPr>
      <w:rFonts w:ascii="宋体" w:hAnsi="宋体" w:cs="宋体"/>
      <w:color w:val="FF0000"/>
      <w:kern w:val="0"/>
      <w:sz w:val="24"/>
    </w:rPr>
  </w:style>
  <w:style w:type="paragraph" w:customStyle="1" w:styleId="29">
    <w:name w:val="xl7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36"/>
      <w:szCs w:val="36"/>
    </w:rPr>
  </w:style>
  <w:style w:type="paragraph" w:customStyle="1" w:styleId="31">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黑体" w:eastAsia="黑体" w:cs="宋体"/>
      <w:kern w:val="0"/>
      <w:sz w:val="36"/>
      <w:szCs w:val="36"/>
    </w:rPr>
  </w:style>
  <w:style w:type="paragraph" w:customStyle="1" w:styleId="3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32"/>
      <w:szCs w:val="32"/>
    </w:rPr>
  </w:style>
  <w:style w:type="paragraph" w:customStyle="1" w:styleId="33">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32"/>
      <w:szCs w:val="32"/>
    </w:rPr>
  </w:style>
  <w:style w:type="paragraph" w:customStyle="1" w:styleId="34">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32"/>
      <w:szCs w:val="32"/>
    </w:rPr>
  </w:style>
  <w:style w:type="paragraph" w:customStyle="1" w:styleId="3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32"/>
      <w:szCs w:val="32"/>
    </w:rPr>
  </w:style>
  <w:style w:type="character" w:customStyle="1" w:styleId="36">
    <w:name w:val="纯文本 Char"/>
    <w:link w:val="6"/>
    <w:qFormat/>
    <w:uiPriority w:val="0"/>
    <w:rPr>
      <w:rFonts w:ascii="宋体" w:hAnsi="Courier New" w:cs="Courier New"/>
      <w:kern w:val="2"/>
      <w:sz w:val="21"/>
      <w:szCs w:val="21"/>
    </w:rPr>
  </w:style>
  <w:style w:type="character" w:customStyle="1" w:styleId="37">
    <w:name w:val="纯文本 Char1"/>
    <w:basedOn w:val="16"/>
    <w:qFormat/>
    <w:uiPriority w:val="0"/>
    <w:rPr>
      <w:rFonts w:ascii="宋体" w:hAnsi="Consolas"/>
      <w:kern w:val="2"/>
      <w:sz w:val="21"/>
      <w:szCs w:val="21"/>
    </w:rPr>
  </w:style>
  <w:style w:type="character" w:customStyle="1" w:styleId="38">
    <w:name w:val="日期 Char"/>
    <w:basedOn w:val="16"/>
    <w:link w:val="7"/>
    <w:uiPriority w:val="0"/>
    <w:rPr>
      <w:kern w:val="2"/>
      <w:sz w:val="21"/>
      <w:szCs w:val="24"/>
    </w:rPr>
  </w:style>
  <w:style w:type="character" w:customStyle="1" w:styleId="39">
    <w:name w:val="文档结构图 Char"/>
    <w:basedOn w:val="16"/>
    <w:link w:val="3"/>
    <w:uiPriority w:val="0"/>
    <w:rPr>
      <w:rFonts w:ascii="宋体"/>
      <w:kern w:val="2"/>
      <w:sz w:val="18"/>
      <w:szCs w:val="18"/>
    </w:rPr>
  </w:style>
  <w:style w:type="character" w:customStyle="1" w:styleId="40">
    <w:name w:val="脚注文本 Char"/>
    <w:basedOn w:val="16"/>
    <w:link w:val="11"/>
    <w:qFormat/>
    <w:uiPriority w:val="0"/>
    <w:rPr>
      <w:rFonts w:ascii="Calibri" w:hAnsi="Calibri"/>
      <w:kern w:val="2"/>
      <w:sz w:val="18"/>
      <w:szCs w:val="24"/>
    </w:rPr>
  </w:style>
  <w:style w:type="character" w:customStyle="1" w:styleId="41">
    <w:name w:val="正文文本缩进 Char"/>
    <w:basedOn w:val="16"/>
    <w:link w:val="5"/>
    <w:qFormat/>
    <w:uiPriority w:val="0"/>
    <w:rPr>
      <w:rFonts w:eastAsia="仿宋_GB2312"/>
      <w:spacing w:val="-10"/>
      <w:kern w:val="2"/>
      <w:sz w:val="32"/>
    </w:rPr>
  </w:style>
  <w:style w:type="character" w:customStyle="1" w:styleId="42">
    <w:name w:val="正文首行缩进 2 Char"/>
    <w:basedOn w:val="41"/>
    <w:link w:val="13"/>
    <w:qFormat/>
    <w:uiPriority w:val="99"/>
    <w:rPr>
      <w:rFonts w:asciiTheme="minorHAnsi" w:hAnsiTheme="minorHAnsi" w:eastAsiaTheme="minorEastAsia" w:cstheme="minorBidi"/>
      <w:spacing w:val="-10"/>
      <w:kern w:val="2"/>
      <w:sz w:val="21"/>
      <w:szCs w:val="22"/>
    </w:rPr>
  </w:style>
  <w:style w:type="paragraph" w:styleId="43">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44">
    <w:name w:val="BodyText1I"/>
    <w:basedOn w:val="1"/>
    <w:qFormat/>
    <w:uiPriority w:val="0"/>
    <w:pPr>
      <w:suppressAutoHyphens/>
      <w:spacing w:after="140" w:line="276" w:lineRule="auto"/>
      <w:ind w:firstLine="420" w:firstLineChars="100"/>
      <w:textAlignment w:val="baseline"/>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hart" Target="charts/chart21.xml"/><Relationship Id="rId27" Type="http://schemas.openxmlformats.org/officeDocument/2006/relationships/chart" Target="charts/chart20.xml"/><Relationship Id="rId26" Type="http://schemas.openxmlformats.org/officeDocument/2006/relationships/chart" Target="charts/chart19.xml"/><Relationship Id="rId25" Type="http://schemas.openxmlformats.org/officeDocument/2006/relationships/chart" Target="charts/chart18.xml"/><Relationship Id="rId24" Type="http://schemas.openxmlformats.org/officeDocument/2006/relationships/chart" Target="charts/chart17.xml"/><Relationship Id="rId23" Type="http://schemas.openxmlformats.org/officeDocument/2006/relationships/chart" Target="charts/chart16.xml"/><Relationship Id="rId22" Type="http://schemas.openxmlformats.org/officeDocument/2006/relationships/chart" Target="charts/chart15.xml"/><Relationship Id="rId21" Type="http://schemas.openxmlformats.org/officeDocument/2006/relationships/chart" Target="charts/chart14.xml"/><Relationship Id="rId20" Type="http://schemas.openxmlformats.org/officeDocument/2006/relationships/chart" Target="charts/chart13.xml"/><Relationship Id="rId2" Type="http://schemas.openxmlformats.org/officeDocument/2006/relationships/settings" Target="settings.xml"/><Relationship Id="rId19" Type="http://schemas.openxmlformats.org/officeDocument/2006/relationships/chart" Target="charts/chart12.xml"/><Relationship Id="rId18" Type="http://schemas.openxmlformats.org/officeDocument/2006/relationships/chart" Target="charts/chart11.xml"/><Relationship Id="rId17" Type="http://schemas.openxmlformats.org/officeDocument/2006/relationships/chart" Target="charts/chart10.xml"/><Relationship Id="rId16" Type="http://schemas.openxmlformats.org/officeDocument/2006/relationships/chart" Target="charts/chart9.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1.&#21457;&#25991;\2018&#27169;&#29256;\&#20041;&#25919;&#21150;&#21457;201800.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themeOverride" Target="../theme/themeOverride1.xml"/><Relationship Id="rId1" Type="http://schemas.openxmlformats.org/officeDocument/2006/relationships/oleObject" Target="file:///E:\2022&#24180;&#32479;&#35745;&#20844;&#25253;\&#22270;&#34920;.xls"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themeOverride" Target="../theme/themeOverride10.xml"/><Relationship Id="rId1" Type="http://schemas.openxmlformats.org/officeDocument/2006/relationships/oleObject" Target="file:///E:\2022&#24180;&#32479;&#35745;&#20844;&#25253;\&#22270;&#34920;.xls" TargetMode="Externa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themeOverride" Target="../theme/themeOverride11.xml"/><Relationship Id="rId1" Type="http://schemas.openxmlformats.org/officeDocument/2006/relationships/oleObject" Target="file:///E:\2022&#24180;&#32479;&#35745;&#20844;&#25253;\&#22270;&#34920;.xls" TargetMode="Externa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themeOverride" Target="../theme/themeOverride12.xml"/><Relationship Id="rId1" Type="http://schemas.openxmlformats.org/officeDocument/2006/relationships/oleObject" Target="file:///E:\2022&#24180;&#32479;&#35745;&#20844;&#25253;\&#22270;&#34920;.xls" TargetMode="Externa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themeOverride" Target="../theme/themeOverride13.xml"/><Relationship Id="rId1" Type="http://schemas.openxmlformats.org/officeDocument/2006/relationships/oleObject" Target="file:///E:\2022&#24180;&#32479;&#35745;&#20844;&#25253;\&#22270;&#34920;.xls" TargetMode="Externa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themeOverride" Target="../theme/themeOverride14.xml"/><Relationship Id="rId1" Type="http://schemas.openxmlformats.org/officeDocument/2006/relationships/oleObject" Target="file:///E:\2022&#24180;&#32479;&#35745;&#20844;&#25253;\&#22270;&#34920;.xls" TargetMode="Externa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themeOverride" Target="../theme/themeOverride15.xml"/><Relationship Id="rId1" Type="http://schemas.openxmlformats.org/officeDocument/2006/relationships/oleObject" Target="file:///E:\2022&#24180;&#32479;&#35745;&#20844;&#25253;\&#22270;&#34920;.xls" TargetMode="Externa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themeOverride" Target="../theme/themeOverride16.xml"/><Relationship Id="rId1" Type="http://schemas.openxmlformats.org/officeDocument/2006/relationships/oleObject" Target="file:///E:\2022&#24180;&#32479;&#35745;&#20844;&#25253;\&#22270;&#34920;.xls" TargetMode="Externa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themeOverride" Target="../theme/themeOverride17.xml"/><Relationship Id="rId1" Type="http://schemas.openxmlformats.org/officeDocument/2006/relationships/oleObject" Target="file:///E:\2022&#24180;&#32479;&#35745;&#20844;&#25253;\&#22270;&#34920;.xls" TargetMode="External"/></Relationships>
</file>

<file path=word/charts/_rels/chart18.xml.rels><?xml version="1.0" encoding="UTF-8" standalone="yes"?>
<Relationships xmlns="http://schemas.openxmlformats.org/package/2006/relationships"><Relationship Id="rId2" Type="http://schemas.openxmlformats.org/officeDocument/2006/relationships/themeOverride" Target="../theme/themeOverride18.xml"/><Relationship Id="rId1" Type="http://schemas.openxmlformats.org/officeDocument/2006/relationships/oleObject" Target="file:///E:\2022&#24180;&#32479;&#35745;&#20844;&#25253;\&#22270;&#34920;.xls" TargetMode="Externa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themeOverride" Target="../theme/themeOverride19.xml"/><Relationship Id="rId1" Type="http://schemas.openxmlformats.org/officeDocument/2006/relationships/oleObject" Target="file:///E:\2022&#24180;&#32479;&#35745;&#20844;&#25253;\&#22270;&#34920;.xls"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themeOverride" Target="../theme/themeOverride2.xml"/><Relationship Id="rId1" Type="http://schemas.openxmlformats.org/officeDocument/2006/relationships/oleObject" Target="file:///E:\2022&#24180;&#32479;&#35745;&#20844;&#25253;\&#22270;&#34920;.xls" TargetMode="Externa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themeOverride" Target="../theme/themeOverride20.xml"/><Relationship Id="rId1" Type="http://schemas.openxmlformats.org/officeDocument/2006/relationships/oleObject" Target="file:///E:\2022&#24180;&#32479;&#35745;&#20844;&#25253;\&#22270;&#34920;.xls" TargetMode="Externa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themeOverride" Target="../theme/themeOverride21.xml"/><Relationship Id="rId1" Type="http://schemas.openxmlformats.org/officeDocument/2006/relationships/oleObject" Target="file:///E:\2022&#24180;&#32479;&#35745;&#20844;&#25253;\&#22270;&#34920;.xls"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themeOverride" Target="../theme/themeOverride3.xml"/><Relationship Id="rId1" Type="http://schemas.openxmlformats.org/officeDocument/2006/relationships/oleObject" Target="file:///E:\2022&#24180;&#32479;&#35745;&#20844;&#25253;\&#22270;&#34920;.xls"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themeOverride" Target="../theme/themeOverride4.xml"/><Relationship Id="rId1" Type="http://schemas.openxmlformats.org/officeDocument/2006/relationships/oleObject" Target="file:///E:\2022&#24180;&#32479;&#35745;&#20844;&#25253;\&#22270;&#34920;.xls" TargetMode="External"/></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oleObject" Target="file:///E:\2022&#24180;&#32479;&#35745;&#20844;&#25253;\&#22270;&#34920;.xls"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themeOverride" Target="../theme/themeOverride6.xml"/><Relationship Id="rId1" Type="http://schemas.openxmlformats.org/officeDocument/2006/relationships/oleObject" Target="file:///E:\2022&#24180;&#32479;&#35745;&#20844;&#25253;\&#22270;&#34920;.xls"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themeOverride" Target="../theme/themeOverride7.xml"/><Relationship Id="rId1" Type="http://schemas.openxmlformats.org/officeDocument/2006/relationships/oleObject" Target="file:///E:\2022&#24180;&#32479;&#35745;&#20844;&#25253;\&#22270;&#34920;.xls" TargetMode="Externa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themeOverride" Target="../theme/themeOverride8.xml"/><Relationship Id="rId1" Type="http://schemas.openxmlformats.org/officeDocument/2006/relationships/oleObject" Target="file:///E:\2022&#24180;&#32479;&#35745;&#20844;&#25253;\&#22270;&#34920;.xls" TargetMode="Externa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themeOverride" Target="../theme/themeOverride9.xml"/><Relationship Id="rId1" Type="http://schemas.openxmlformats.org/officeDocument/2006/relationships/oleObject" Target="file:///E:\2022&#24180;&#32479;&#35745;&#20844;&#25253;\&#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1062992126"/>
          <c:y val="0.0628874902342894"/>
          <c:w val="0.798939851268593"/>
          <c:h val="0.741217180628341"/>
        </c:manualLayout>
      </c:layout>
      <c:barChart>
        <c:barDir val="col"/>
        <c:grouping val="clustered"/>
        <c:varyColors val="0"/>
        <c:ser>
          <c:idx val="0"/>
          <c:order val="0"/>
          <c:tx>
            <c:strRef>
              <c:f>GDP!$A$2</c:f>
              <c:strCache>
                <c:ptCount val="1"/>
                <c:pt idx="0">
                  <c:v>绝对值（亿元）</c:v>
                </c:pt>
              </c:strCache>
            </c:strRef>
          </c:tx>
          <c:spPr>
            <a:solidFill>
              <a:schemeClr val="accent1"/>
            </a:solidFill>
          </c:spPr>
          <c:invertIfNegative val="0"/>
          <c:dLbls>
            <c:dLbl>
              <c:idx val="0"/>
              <c:layout>
                <c:manualLayout>
                  <c:x val="-0.00597907324364725"/>
                  <c:y val="0.01871345029239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GDP!$J$1:$N$1</c:f>
              <c:strCache>
                <c:ptCount val="5"/>
                <c:pt idx="0">
                  <c:v>2018年</c:v>
                </c:pt>
                <c:pt idx="1">
                  <c:v>2019年</c:v>
                </c:pt>
                <c:pt idx="2">
                  <c:v>2020年</c:v>
                </c:pt>
                <c:pt idx="3">
                  <c:v>2021年</c:v>
                </c:pt>
                <c:pt idx="4">
                  <c:v>2022年</c:v>
                </c:pt>
              </c:strCache>
            </c:strRef>
          </c:cat>
          <c:val>
            <c:numRef>
              <c:f>GDP!$J$2:$N$2</c:f>
              <c:numCache>
                <c:formatCode>0.0_ </c:formatCode>
                <c:ptCount val="5"/>
                <c:pt idx="0">
                  <c:v>1248.1</c:v>
                </c:pt>
                <c:pt idx="1">
                  <c:v>1421.1</c:v>
                </c:pt>
                <c:pt idx="2">
                  <c:v>1485.6</c:v>
                </c:pt>
                <c:pt idx="3">
                  <c:v>1730.2</c:v>
                </c:pt>
                <c:pt idx="4">
                  <c:v>1835.54</c:v>
                </c:pt>
              </c:numCache>
            </c:numRef>
          </c:val>
        </c:ser>
        <c:dLbls>
          <c:showLegendKey val="0"/>
          <c:showVal val="0"/>
          <c:showCatName val="0"/>
          <c:showSerName val="0"/>
          <c:showPercent val="0"/>
          <c:showBubbleSize val="0"/>
        </c:dLbls>
        <c:gapWidth val="75"/>
        <c:axId val="481886976"/>
        <c:axId val="481888512"/>
      </c:barChart>
      <c:lineChart>
        <c:grouping val="standard"/>
        <c:varyColors val="0"/>
        <c:ser>
          <c:idx val="1"/>
          <c:order val="1"/>
          <c:tx>
            <c:strRef>
              <c:f>GDP!$A$3</c:f>
              <c:strCache>
                <c:ptCount val="1"/>
                <c:pt idx="0">
                  <c:v>增幅</c:v>
                </c:pt>
              </c:strCache>
            </c:strRef>
          </c:tx>
          <c:dLbls>
            <c:dLbl>
              <c:idx val="0"/>
              <c:layout>
                <c:manualLayout>
                  <c:x val="-0.0584454409566517"/>
                  <c:y val="0.069695814338997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14349775784753"/>
                  <c:y val="0.05566072661969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24663677130045"/>
                  <c:y val="0.065017451765897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60240339912668"/>
                  <c:y val="-0.04258488741538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7055424125796"/>
                  <c:y val="-0.080011788000184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GDP!$C$1:$G$1</c:f>
              <c:strCache>
                <c:ptCount val="5"/>
                <c:pt idx="0">
                  <c:v>2011年</c:v>
                </c:pt>
                <c:pt idx="1">
                  <c:v>2012年</c:v>
                </c:pt>
                <c:pt idx="2">
                  <c:v>2013年</c:v>
                </c:pt>
                <c:pt idx="3">
                  <c:v>2014年</c:v>
                </c:pt>
                <c:pt idx="4">
                  <c:v>2015年</c:v>
                </c:pt>
              </c:strCache>
            </c:strRef>
          </c:cat>
          <c:val>
            <c:numRef>
              <c:f>GDP!$J$3:$N$3</c:f>
              <c:numCache>
                <c:formatCode>0.0%</c:formatCode>
                <c:ptCount val="5"/>
                <c:pt idx="0">
                  <c:v>0.07</c:v>
                </c:pt>
                <c:pt idx="1">
                  <c:v>0.074</c:v>
                </c:pt>
                <c:pt idx="2">
                  <c:v>0.04</c:v>
                </c:pt>
                <c:pt idx="3">
                  <c:v>0.116</c:v>
                </c:pt>
                <c:pt idx="4">
                  <c:v>0.046</c:v>
                </c:pt>
              </c:numCache>
            </c:numRef>
          </c:val>
          <c:smooth val="0"/>
        </c:ser>
        <c:dLbls>
          <c:showLegendKey val="0"/>
          <c:showVal val="0"/>
          <c:showCatName val="0"/>
          <c:showSerName val="0"/>
          <c:showPercent val="0"/>
          <c:showBubbleSize val="0"/>
        </c:dLbls>
        <c:marker val="1"/>
        <c:smooth val="0"/>
        <c:axId val="481906688"/>
        <c:axId val="481908224"/>
      </c:lineChart>
      <c:catAx>
        <c:axId val="48188697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1888512"/>
        <c:crosses val="autoZero"/>
        <c:auto val="1"/>
        <c:lblAlgn val="ctr"/>
        <c:lblOffset val="100"/>
        <c:noMultiLvlLbl val="0"/>
      </c:catAx>
      <c:valAx>
        <c:axId val="481888512"/>
        <c:scaling>
          <c:orientation val="minMax"/>
        </c:scaling>
        <c:delete val="0"/>
        <c:axPos val="l"/>
        <c:numFmt formatCode="0_);\(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1886976"/>
        <c:crosses val="autoZero"/>
        <c:crossBetween val="between"/>
        <c:majorUnit val="500"/>
      </c:valAx>
      <c:catAx>
        <c:axId val="481906688"/>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1908224"/>
        <c:crosses val="autoZero"/>
        <c:auto val="1"/>
        <c:lblAlgn val="ctr"/>
        <c:lblOffset val="100"/>
        <c:noMultiLvlLbl val="0"/>
      </c:catAx>
      <c:valAx>
        <c:axId val="481908224"/>
        <c:scaling>
          <c:orientation val="minMax"/>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1906688"/>
        <c:crosses val="max"/>
        <c:crossBetween val="between"/>
        <c:majorUnit val="0.03"/>
      </c:valAx>
    </c:plotArea>
    <c:legend>
      <c:legendPos val="b"/>
      <c:layout>
        <c:manualLayout>
          <c:xMode val="edge"/>
          <c:yMode val="edge"/>
          <c:x val="0.190553064275037"/>
          <c:y val="0.910663167104112"/>
          <c:w val="0.530941704035875"/>
          <c:h val="0.084598425196850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42825896762905"/>
          <c:y val="0.0912729658792651"/>
          <c:w val="0.800895669291339"/>
          <c:h val="0.714608850976961"/>
        </c:manualLayout>
      </c:layout>
      <c:barChart>
        <c:barDir val="col"/>
        <c:grouping val="clustered"/>
        <c:varyColors val="0"/>
        <c:ser>
          <c:idx val="0"/>
          <c:order val="0"/>
          <c:tx>
            <c:strRef>
              <c:f>进出口!$A$13</c:f>
              <c:strCache>
                <c:ptCount val="1"/>
                <c:pt idx="0">
                  <c:v>绝对值（万美元）</c:v>
                </c:pt>
              </c:strCache>
            </c:strRef>
          </c:tx>
          <c:spPr>
            <a:solidFill>
              <a:schemeClr val="accent1"/>
            </a:solidFill>
          </c:spPr>
          <c:invertIfNegative val="0"/>
          <c:dLbls>
            <c:dLbl>
              <c:idx val="0"/>
              <c:layout>
                <c:manualLayout>
                  <c:x val="-0.00555555555555556"/>
                  <c:y val="0.009259259259259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77777777777779"/>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55555555555556"/>
                  <c:y val="0.0324074074074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55555555555556"/>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进出口!$I$12:$M$12</c:f>
              <c:strCache>
                <c:ptCount val="5"/>
                <c:pt idx="0">
                  <c:v>2018年</c:v>
                </c:pt>
                <c:pt idx="1">
                  <c:v>2019年</c:v>
                </c:pt>
                <c:pt idx="2">
                  <c:v>2020年</c:v>
                </c:pt>
                <c:pt idx="3">
                  <c:v>2021年</c:v>
                </c:pt>
                <c:pt idx="4">
                  <c:v>2022年</c:v>
                </c:pt>
              </c:strCache>
            </c:strRef>
          </c:cat>
          <c:val>
            <c:numRef>
              <c:f>进出口!$I$13:$M$13</c:f>
              <c:numCache>
                <c:formatCode>0_ </c:formatCode>
                <c:ptCount val="5"/>
                <c:pt idx="0">
                  <c:v>14731</c:v>
                </c:pt>
                <c:pt idx="1">
                  <c:v>16204.88</c:v>
                </c:pt>
                <c:pt idx="2">
                  <c:v>22100</c:v>
                </c:pt>
                <c:pt idx="3">
                  <c:v>18327</c:v>
                </c:pt>
                <c:pt idx="4">
                  <c:v>20799</c:v>
                </c:pt>
              </c:numCache>
            </c:numRef>
          </c:val>
        </c:ser>
        <c:dLbls>
          <c:showLegendKey val="0"/>
          <c:showVal val="0"/>
          <c:showCatName val="0"/>
          <c:showSerName val="0"/>
          <c:showPercent val="0"/>
          <c:showBubbleSize val="0"/>
        </c:dLbls>
        <c:gapWidth val="75"/>
        <c:axId val="485090816"/>
        <c:axId val="485092352"/>
      </c:barChart>
      <c:lineChart>
        <c:grouping val="standard"/>
        <c:varyColors val="0"/>
        <c:ser>
          <c:idx val="1"/>
          <c:order val="1"/>
          <c:tx>
            <c:strRef>
              <c:f>进出口!$A$14</c:f>
              <c:strCache>
                <c:ptCount val="1"/>
                <c:pt idx="0">
                  <c:v>增幅</c:v>
                </c:pt>
              </c:strCache>
            </c:strRef>
          </c:tx>
          <c:dLbls>
            <c:dLbl>
              <c:idx val="0"/>
              <c:layout>
                <c:manualLayout>
                  <c:x val="-0.0694446631671041"/>
                  <c:y val="-0.064815179352580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44444444444445"/>
                  <c:y val="-0.092592592592592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55555555555555"/>
                  <c:y val="-0.05555555555555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11111111111111"/>
                  <c:y val="-0.064815179352580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55555555555555"/>
                  <c:y val="-0.064814814814814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进出口!$B$12:$F$12</c:f>
              <c:strCache>
                <c:ptCount val="5"/>
                <c:pt idx="0">
                  <c:v>2011年</c:v>
                </c:pt>
                <c:pt idx="1">
                  <c:v>2012年</c:v>
                </c:pt>
                <c:pt idx="2">
                  <c:v>2013年</c:v>
                </c:pt>
                <c:pt idx="3">
                  <c:v>2014年</c:v>
                </c:pt>
                <c:pt idx="4">
                  <c:v>2015年</c:v>
                </c:pt>
              </c:strCache>
            </c:strRef>
          </c:cat>
          <c:val>
            <c:numRef>
              <c:f>进出口!$I$14:$M$14</c:f>
              <c:numCache>
                <c:formatCode>0.0%</c:formatCode>
                <c:ptCount val="5"/>
                <c:pt idx="0">
                  <c:v>-0.293</c:v>
                </c:pt>
                <c:pt idx="1">
                  <c:v>0.1</c:v>
                </c:pt>
                <c:pt idx="2">
                  <c:v>0.364</c:v>
                </c:pt>
                <c:pt idx="3">
                  <c:v>-0.171</c:v>
                </c:pt>
                <c:pt idx="4">
                  <c:v>0.135</c:v>
                </c:pt>
              </c:numCache>
            </c:numRef>
          </c:val>
          <c:smooth val="0"/>
        </c:ser>
        <c:dLbls>
          <c:showLegendKey val="0"/>
          <c:showVal val="0"/>
          <c:showCatName val="0"/>
          <c:showSerName val="0"/>
          <c:showPercent val="0"/>
          <c:showBubbleSize val="0"/>
        </c:dLbls>
        <c:marker val="1"/>
        <c:smooth val="0"/>
        <c:axId val="487076608"/>
        <c:axId val="487078144"/>
      </c:lineChart>
      <c:catAx>
        <c:axId val="4850908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5092352"/>
        <c:crosses val="autoZero"/>
        <c:auto val="1"/>
        <c:lblAlgn val="ctr"/>
        <c:lblOffset val="100"/>
        <c:noMultiLvlLbl val="0"/>
      </c:catAx>
      <c:valAx>
        <c:axId val="485092352"/>
        <c:scaling>
          <c:orientation val="minMax"/>
        </c:scaling>
        <c:delete val="0"/>
        <c:axPos val="l"/>
        <c:numFmt formatCode="0_);\(0\)" sourceLinked="0"/>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85090816"/>
        <c:crosses val="autoZero"/>
        <c:crossBetween val="between"/>
      </c:valAx>
      <c:catAx>
        <c:axId val="487076608"/>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7078144"/>
        <c:crosses val="autoZero"/>
        <c:auto val="1"/>
        <c:lblAlgn val="ctr"/>
        <c:lblOffset val="100"/>
        <c:noMultiLvlLbl val="0"/>
      </c:catAx>
      <c:valAx>
        <c:axId val="487078144"/>
        <c:scaling>
          <c:orientation val="minMax"/>
          <c:max val="1.5"/>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7076608"/>
        <c:crosses val="max"/>
        <c:crossBetween val="between"/>
        <c:majorUnit val="0.5"/>
      </c:valAx>
    </c:plotArea>
    <c:legend>
      <c:legendPos val="b"/>
      <c:layout>
        <c:manualLayout>
          <c:xMode val="edge"/>
          <c:yMode val="edge"/>
          <c:x val="0.214444444444445"/>
          <c:y val="0.907023549139691"/>
          <c:w val="0.56"/>
          <c:h val="0.0837171916010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26159230096238"/>
          <c:y val="0.100532225138524"/>
          <c:w val="0.823479002624674"/>
          <c:h val="0.714608850976961"/>
        </c:manualLayout>
      </c:layout>
      <c:barChart>
        <c:barDir val="col"/>
        <c:grouping val="clustered"/>
        <c:varyColors val="0"/>
        <c:ser>
          <c:idx val="0"/>
          <c:order val="0"/>
          <c:tx>
            <c:strRef>
              <c:f>汽车保有量!$A$2</c:f>
              <c:strCache>
                <c:ptCount val="1"/>
                <c:pt idx="0">
                  <c:v>绝对数（万辆）</c:v>
                </c:pt>
              </c:strCache>
            </c:strRef>
          </c:tx>
          <c:spPr>
            <a:solidFill>
              <a:schemeClr val="accent1"/>
            </a:solidFill>
          </c:spPr>
          <c:invertIfNegative val="0"/>
          <c:dLbls>
            <c:dLbl>
              <c:idx val="0"/>
              <c:layout>
                <c:manualLayout>
                  <c:x val="-0.00277777777777779"/>
                  <c:y val="-0.009259259259259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324074074074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汽车保有量!$I$1:$M$1</c:f>
              <c:strCache>
                <c:ptCount val="5"/>
                <c:pt idx="0">
                  <c:v>2018年</c:v>
                </c:pt>
                <c:pt idx="1">
                  <c:v>2019年</c:v>
                </c:pt>
                <c:pt idx="2">
                  <c:v>2020年</c:v>
                </c:pt>
                <c:pt idx="3">
                  <c:v>2021年</c:v>
                </c:pt>
                <c:pt idx="4">
                  <c:v>2022年</c:v>
                </c:pt>
              </c:strCache>
            </c:strRef>
          </c:cat>
          <c:val>
            <c:numRef>
              <c:f>汽车保有量!$I$2:$M$2</c:f>
              <c:numCache>
                <c:formatCode>0.00_ </c:formatCode>
                <c:ptCount val="5"/>
                <c:pt idx="0">
                  <c:v>58.8943</c:v>
                </c:pt>
                <c:pt idx="1">
                  <c:v>65.6837</c:v>
                </c:pt>
                <c:pt idx="2">
                  <c:v>71.34</c:v>
                </c:pt>
                <c:pt idx="3" c:formatCode="0.0_ ">
                  <c:v>77.7</c:v>
                </c:pt>
                <c:pt idx="4">
                  <c:v>83.13</c:v>
                </c:pt>
              </c:numCache>
            </c:numRef>
          </c:val>
        </c:ser>
        <c:dLbls>
          <c:showLegendKey val="0"/>
          <c:showVal val="0"/>
          <c:showCatName val="0"/>
          <c:showSerName val="0"/>
          <c:showPercent val="0"/>
          <c:showBubbleSize val="0"/>
        </c:dLbls>
        <c:gapWidth val="75"/>
        <c:axId val="487113856"/>
        <c:axId val="487115392"/>
      </c:barChart>
      <c:lineChart>
        <c:grouping val="standard"/>
        <c:varyColors val="0"/>
        <c:ser>
          <c:idx val="1"/>
          <c:order val="1"/>
          <c:tx>
            <c:strRef>
              <c:f>汽车保有量!$A$3</c:f>
              <c:strCache>
                <c:ptCount val="1"/>
                <c:pt idx="0">
                  <c:v>增幅</c:v>
                </c:pt>
              </c:strCache>
            </c:strRef>
          </c:tx>
          <c:dLbls>
            <c:dLbl>
              <c:idx val="0"/>
              <c:layout>
                <c:manualLayout>
                  <c:x val="-0.0641251093613298"/>
                  <c:y val="0.05045129775444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41251093613298"/>
                  <c:y val="-0.04677128900554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41251093613298"/>
                  <c:y val="-0.074549066783318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汽车保有量!$B$1:$F$1</c:f>
              <c:strCache>
                <c:ptCount val="5"/>
                <c:pt idx="0">
                  <c:v>2011年</c:v>
                </c:pt>
                <c:pt idx="1">
                  <c:v>2012年</c:v>
                </c:pt>
                <c:pt idx="2">
                  <c:v>2013年</c:v>
                </c:pt>
                <c:pt idx="3">
                  <c:v>2014年</c:v>
                </c:pt>
                <c:pt idx="4">
                  <c:v>2015年</c:v>
                </c:pt>
              </c:strCache>
            </c:strRef>
          </c:cat>
          <c:val>
            <c:numRef>
              <c:f>汽车保有量!$I$3:$M$3</c:f>
              <c:numCache>
                <c:formatCode>0.0%</c:formatCode>
                <c:ptCount val="5"/>
                <c:pt idx="0">
                  <c:v>0.132</c:v>
                </c:pt>
                <c:pt idx="1">
                  <c:v>0.115</c:v>
                </c:pt>
                <c:pt idx="2">
                  <c:v>0.086</c:v>
                </c:pt>
                <c:pt idx="3">
                  <c:v>0.0890000000000001</c:v>
                </c:pt>
                <c:pt idx="4">
                  <c:v>0.07</c:v>
                </c:pt>
              </c:numCache>
            </c:numRef>
          </c:val>
          <c:smooth val="0"/>
        </c:ser>
        <c:dLbls>
          <c:showLegendKey val="0"/>
          <c:showVal val="0"/>
          <c:showCatName val="0"/>
          <c:showSerName val="0"/>
          <c:showPercent val="0"/>
          <c:showBubbleSize val="0"/>
        </c:dLbls>
        <c:marker val="1"/>
        <c:smooth val="0"/>
        <c:axId val="487395712"/>
        <c:axId val="487397248"/>
      </c:lineChart>
      <c:catAx>
        <c:axId val="48711385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7115392"/>
        <c:crosses val="autoZero"/>
        <c:auto val="1"/>
        <c:lblAlgn val="ctr"/>
        <c:lblOffset val="100"/>
        <c:noMultiLvlLbl val="0"/>
      </c:catAx>
      <c:valAx>
        <c:axId val="487115392"/>
        <c:scaling>
          <c:orientation val="minMax"/>
        </c:scaling>
        <c:delete val="0"/>
        <c:axPos val="l"/>
        <c:numFmt formatCode="0_);\(0\)" sourceLinked="0"/>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87113856"/>
        <c:crosses val="autoZero"/>
        <c:crossBetween val="between"/>
      </c:valAx>
      <c:catAx>
        <c:axId val="487395712"/>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7397248"/>
        <c:crosses val="autoZero"/>
        <c:auto val="1"/>
        <c:lblAlgn val="ctr"/>
        <c:lblOffset val="100"/>
        <c:noMultiLvlLbl val="0"/>
      </c:catAx>
      <c:valAx>
        <c:axId val="487397248"/>
        <c:scaling>
          <c:orientation val="minMax"/>
          <c:max val="0.25"/>
          <c:min val="0.05"/>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7395712"/>
        <c:crosses val="max"/>
        <c:crossBetween val="between"/>
        <c:majorUnit val="0.05"/>
      </c:valAx>
    </c:plotArea>
    <c:legend>
      <c:legendPos val="b"/>
      <c:layout>
        <c:manualLayout>
          <c:xMode val="edge"/>
          <c:yMode val="edge"/>
          <c:x val="0.228333333333333"/>
          <c:y val="0.897764289880431"/>
          <c:w val="0.493333333333333"/>
          <c:h val="0.0837171916010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101924759405"/>
          <c:y val="0.109791484397784"/>
          <c:w val="0.807993000874892"/>
          <c:h val="0.714608850976961"/>
        </c:manualLayout>
      </c:layout>
      <c:barChart>
        <c:barDir val="col"/>
        <c:grouping val="clustered"/>
        <c:varyColors val="0"/>
        <c:ser>
          <c:idx val="0"/>
          <c:order val="0"/>
          <c:tx>
            <c:strRef>
              <c:f>财政!$A$2</c:f>
              <c:strCache>
                <c:ptCount val="1"/>
                <c:pt idx="0">
                  <c:v>绝对值（亿元）</c:v>
                </c:pt>
              </c:strCache>
            </c:strRef>
          </c:tx>
          <c:spPr>
            <a:solidFill>
              <a:schemeClr val="accent1"/>
            </a:solidFill>
          </c:spPr>
          <c:invertIfNegative val="0"/>
          <c:dLbls>
            <c:dLbl>
              <c:idx val="0"/>
              <c:layout>
                <c:manualLayout>
                  <c:x val="0.00277777777777779"/>
                  <c:y val="-0.009259623797025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77777777777779"/>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财政!$I$1:$M$1</c:f>
              <c:strCache>
                <c:ptCount val="5"/>
                <c:pt idx="0">
                  <c:v>2018年</c:v>
                </c:pt>
                <c:pt idx="1">
                  <c:v>2019年</c:v>
                </c:pt>
                <c:pt idx="2">
                  <c:v>2020年</c:v>
                </c:pt>
                <c:pt idx="3">
                  <c:v>2021年</c:v>
                </c:pt>
                <c:pt idx="4">
                  <c:v>2022年</c:v>
                </c:pt>
              </c:strCache>
            </c:strRef>
          </c:cat>
          <c:val>
            <c:numRef>
              <c:f>财政!$I$2:$M$2</c:f>
              <c:numCache>
                <c:formatCode>0.0_);[Red]\(0.0\)</c:formatCode>
                <c:ptCount val="5"/>
                <c:pt idx="0">
                  <c:v>153.4</c:v>
                </c:pt>
                <c:pt idx="1">
                  <c:v>152.4</c:v>
                </c:pt>
                <c:pt idx="2">
                  <c:v>162.3</c:v>
                </c:pt>
                <c:pt idx="3">
                  <c:v>193.7</c:v>
                </c:pt>
                <c:pt idx="4">
                  <c:v>211.6</c:v>
                </c:pt>
              </c:numCache>
            </c:numRef>
          </c:val>
        </c:ser>
        <c:dLbls>
          <c:showLegendKey val="0"/>
          <c:showVal val="0"/>
          <c:showCatName val="0"/>
          <c:showSerName val="0"/>
          <c:showPercent val="0"/>
          <c:showBubbleSize val="0"/>
        </c:dLbls>
        <c:gapWidth val="75"/>
        <c:axId val="487437056"/>
        <c:axId val="487438592"/>
      </c:barChart>
      <c:lineChart>
        <c:grouping val="standard"/>
        <c:varyColors val="0"/>
        <c:ser>
          <c:idx val="1"/>
          <c:order val="1"/>
          <c:tx>
            <c:strRef>
              <c:f>财政!$A$3</c:f>
              <c:strCache>
                <c:ptCount val="1"/>
                <c:pt idx="0">
                  <c:v>增幅</c:v>
                </c:pt>
              </c:strCache>
            </c:strRef>
          </c:tx>
          <c:dLbls>
            <c:dLbl>
              <c:idx val="0"/>
              <c:layout>
                <c:manualLayout>
                  <c:x val="-0.0543055555555556"/>
                  <c:y val="0.028252405949256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98611111111112"/>
                  <c:y val="0.065289078448527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43055555555556"/>
                  <c:y val="-0.06896981627296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70833333333335"/>
                  <c:y val="0.056030183727034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43057742782153"/>
                  <c:y val="-0.05045129775444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财政!$B$1:$F$1</c:f>
              <c:strCache>
                <c:ptCount val="5"/>
                <c:pt idx="0">
                  <c:v>2011年</c:v>
                </c:pt>
                <c:pt idx="1">
                  <c:v>2012年</c:v>
                </c:pt>
                <c:pt idx="2">
                  <c:v>2013年</c:v>
                </c:pt>
                <c:pt idx="3">
                  <c:v>2014年</c:v>
                </c:pt>
                <c:pt idx="4">
                  <c:v>2015年</c:v>
                </c:pt>
              </c:strCache>
            </c:strRef>
          </c:cat>
          <c:val>
            <c:numRef>
              <c:f>财政!$I$3:$M$3</c:f>
              <c:numCache>
                <c:formatCode>0.0%</c:formatCode>
                <c:ptCount val="5"/>
                <c:pt idx="0">
                  <c:v>0.08</c:v>
                </c:pt>
                <c:pt idx="1">
                  <c:v>-0.00700000000000001</c:v>
                </c:pt>
                <c:pt idx="2">
                  <c:v>0.0640000000000001</c:v>
                </c:pt>
                <c:pt idx="3">
                  <c:v>0.194</c:v>
                </c:pt>
                <c:pt idx="4">
                  <c:v>0.092</c:v>
                </c:pt>
              </c:numCache>
            </c:numRef>
          </c:val>
          <c:smooth val="0"/>
        </c:ser>
        <c:dLbls>
          <c:showLegendKey val="0"/>
          <c:showVal val="0"/>
          <c:showCatName val="0"/>
          <c:showSerName val="0"/>
          <c:showPercent val="0"/>
          <c:showBubbleSize val="0"/>
        </c:dLbls>
        <c:marker val="1"/>
        <c:smooth val="0"/>
        <c:axId val="487526400"/>
        <c:axId val="487527936"/>
      </c:lineChart>
      <c:catAx>
        <c:axId val="48743705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7438592"/>
        <c:crosses val="autoZero"/>
        <c:auto val="1"/>
        <c:lblAlgn val="ctr"/>
        <c:lblOffset val="100"/>
        <c:noMultiLvlLbl val="0"/>
      </c:catAx>
      <c:valAx>
        <c:axId val="487438592"/>
        <c:scaling>
          <c:orientation val="minMax"/>
        </c:scaling>
        <c:delete val="0"/>
        <c:axPos val="l"/>
        <c:numFmt formatCode="0_);\(0\)" sourceLinked="0"/>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87437056"/>
        <c:crosses val="autoZero"/>
        <c:crossBetween val="between"/>
      </c:valAx>
      <c:catAx>
        <c:axId val="487526400"/>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7527936"/>
        <c:crosses val="autoZero"/>
        <c:auto val="1"/>
        <c:lblAlgn val="ctr"/>
        <c:lblOffset val="100"/>
        <c:noMultiLvlLbl val="0"/>
      </c:catAx>
      <c:valAx>
        <c:axId val="487527936"/>
        <c:scaling>
          <c:orientation val="minMax"/>
          <c:max val="0.25"/>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7526400"/>
        <c:crosses val="max"/>
        <c:crossBetween val="between"/>
        <c:majorUnit val="0.05"/>
      </c:valAx>
    </c:plotArea>
    <c:legend>
      <c:legendPos val="b"/>
      <c:layout>
        <c:manualLayout>
          <c:xMode val="edge"/>
          <c:yMode val="edge"/>
          <c:x val="0.250555555555556"/>
          <c:y val="0.902393919510061"/>
          <c:w val="0.493333333333333"/>
          <c:h val="0.0837171916010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26159230096238"/>
          <c:y val="0.100532225138524"/>
          <c:w val="0.823479002624674"/>
          <c:h val="0.714608850976961"/>
        </c:manualLayout>
      </c:layout>
      <c:barChart>
        <c:barDir val="col"/>
        <c:grouping val="clustered"/>
        <c:varyColors val="0"/>
        <c:ser>
          <c:idx val="0"/>
          <c:order val="0"/>
          <c:tx>
            <c:strRef>
              <c:f>财政!$Q$2</c:f>
              <c:strCache>
                <c:ptCount val="1"/>
                <c:pt idx="0">
                  <c:v>绝对值（亿元）</c:v>
                </c:pt>
              </c:strCache>
            </c:strRef>
          </c:tx>
          <c:spPr>
            <a:solidFill>
              <a:schemeClr val="accent1"/>
            </a:solidFill>
          </c:spPr>
          <c:invertIfNegative val="0"/>
          <c:dLbls>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财政!$Y$1:$AC$1</c:f>
              <c:strCache>
                <c:ptCount val="5"/>
                <c:pt idx="0">
                  <c:v>2018年</c:v>
                </c:pt>
                <c:pt idx="1">
                  <c:v>2019年</c:v>
                </c:pt>
                <c:pt idx="2">
                  <c:v>2020年</c:v>
                </c:pt>
                <c:pt idx="3">
                  <c:v>2021年</c:v>
                </c:pt>
                <c:pt idx="4">
                  <c:v>2022年</c:v>
                </c:pt>
              </c:strCache>
            </c:strRef>
          </c:cat>
          <c:val>
            <c:numRef>
              <c:f>财政!$Y$2:$AC$2</c:f>
              <c:numCache>
                <c:formatCode>0.0_);[Red]\(0.0\)</c:formatCode>
                <c:ptCount val="5"/>
                <c:pt idx="0">
                  <c:v>95.2</c:v>
                </c:pt>
                <c:pt idx="1">
                  <c:v>101.2</c:v>
                </c:pt>
                <c:pt idx="2">
                  <c:v>106</c:v>
                </c:pt>
                <c:pt idx="3">
                  <c:v>127.5</c:v>
                </c:pt>
                <c:pt idx="4">
                  <c:v>132.9</c:v>
                </c:pt>
              </c:numCache>
            </c:numRef>
          </c:val>
        </c:ser>
        <c:dLbls>
          <c:showLegendKey val="0"/>
          <c:showVal val="0"/>
          <c:showCatName val="0"/>
          <c:showSerName val="0"/>
          <c:showPercent val="0"/>
          <c:showBubbleSize val="0"/>
        </c:dLbls>
        <c:gapWidth val="75"/>
        <c:axId val="487571840"/>
        <c:axId val="487573376"/>
      </c:barChart>
      <c:lineChart>
        <c:grouping val="standard"/>
        <c:varyColors val="0"/>
        <c:ser>
          <c:idx val="1"/>
          <c:order val="1"/>
          <c:tx>
            <c:strRef>
              <c:f>财政!$Q$3</c:f>
              <c:strCache>
                <c:ptCount val="1"/>
                <c:pt idx="0">
                  <c:v>增幅</c:v>
                </c:pt>
              </c:strCache>
            </c:strRef>
          </c:tx>
          <c:dLbls>
            <c:dLbl>
              <c:idx val="3"/>
              <c:layout>
                <c:manualLayout>
                  <c:x val="-0.0564113393871743"/>
                  <c:y val="-0.055836307658774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59773131806801"/>
                  <c:y val="-0.069677138108601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财政!$R$1:$V$1</c:f>
              <c:strCache>
                <c:ptCount val="5"/>
                <c:pt idx="0">
                  <c:v>2011年</c:v>
                </c:pt>
                <c:pt idx="1">
                  <c:v>2012年</c:v>
                </c:pt>
                <c:pt idx="2">
                  <c:v>2013年</c:v>
                </c:pt>
                <c:pt idx="3">
                  <c:v>2014年</c:v>
                </c:pt>
                <c:pt idx="4">
                  <c:v>2015年</c:v>
                </c:pt>
              </c:strCache>
            </c:strRef>
          </c:cat>
          <c:val>
            <c:numRef>
              <c:f>财政!$Y$3:$AC$3</c:f>
              <c:numCache>
                <c:formatCode>0.0%</c:formatCode>
                <c:ptCount val="5"/>
                <c:pt idx="0">
                  <c:v>0.12</c:v>
                </c:pt>
                <c:pt idx="1">
                  <c:v>0.063</c:v>
                </c:pt>
                <c:pt idx="2">
                  <c:v>0.047</c:v>
                </c:pt>
                <c:pt idx="3">
                  <c:v>0.203</c:v>
                </c:pt>
                <c:pt idx="4">
                  <c:v>0.042</c:v>
                </c:pt>
              </c:numCache>
            </c:numRef>
          </c:val>
          <c:smooth val="0"/>
        </c:ser>
        <c:dLbls>
          <c:showLegendKey val="0"/>
          <c:showVal val="0"/>
          <c:showCatName val="0"/>
          <c:showSerName val="0"/>
          <c:showPercent val="0"/>
          <c:showBubbleSize val="0"/>
        </c:dLbls>
        <c:marker val="1"/>
        <c:smooth val="0"/>
        <c:axId val="487574912"/>
        <c:axId val="487580800"/>
      </c:lineChart>
      <c:catAx>
        <c:axId val="48757184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7573376"/>
        <c:crosses val="autoZero"/>
        <c:auto val="1"/>
        <c:lblAlgn val="ctr"/>
        <c:lblOffset val="100"/>
        <c:noMultiLvlLbl val="0"/>
      </c:catAx>
      <c:valAx>
        <c:axId val="487573376"/>
        <c:scaling>
          <c:orientation val="minMax"/>
        </c:scaling>
        <c:delete val="0"/>
        <c:axPos val="l"/>
        <c:numFmt formatCode="0_);\(0\)" sourceLinked="0"/>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87571840"/>
        <c:crosses val="autoZero"/>
        <c:crossBetween val="between"/>
      </c:valAx>
      <c:catAx>
        <c:axId val="487574912"/>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7580800"/>
        <c:crosses val="autoZero"/>
        <c:auto val="1"/>
        <c:lblAlgn val="ctr"/>
        <c:lblOffset val="100"/>
        <c:noMultiLvlLbl val="0"/>
      </c:catAx>
      <c:valAx>
        <c:axId val="487580800"/>
        <c:scaling>
          <c:orientation val="minMax"/>
          <c:max val="0.25"/>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7574912"/>
        <c:crosses val="max"/>
        <c:crossBetween val="between"/>
        <c:majorUnit val="0.05"/>
      </c:valAx>
    </c:plotArea>
    <c:legend>
      <c:legendPos val="b"/>
      <c:layout>
        <c:manualLayout>
          <c:xMode val="edge"/>
          <c:yMode val="edge"/>
          <c:x val="0.258888989451032"/>
          <c:y val="0.902393809770319"/>
          <c:w val="0.493333333333333"/>
          <c:h val="0.083717407296406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810148731409"/>
          <c:y val="0.0959025955088948"/>
          <c:w val="0.792506999125109"/>
          <c:h val="0.714608850976961"/>
        </c:manualLayout>
      </c:layout>
      <c:barChart>
        <c:barDir val="col"/>
        <c:grouping val="clustered"/>
        <c:varyColors val="0"/>
        <c:ser>
          <c:idx val="0"/>
          <c:order val="0"/>
          <c:tx>
            <c:strRef>
              <c:f>金融!$A$2</c:f>
              <c:strCache>
                <c:ptCount val="1"/>
                <c:pt idx="0">
                  <c:v>绝对值（亿元）</c:v>
                </c:pt>
              </c:strCache>
            </c:strRef>
          </c:tx>
          <c:spPr>
            <a:solidFill>
              <a:schemeClr val="accent1"/>
            </a:solidFill>
          </c:spPr>
          <c:invertIfNegative val="0"/>
          <c:dLbls>
            <c:dLbl>
              <c:idx val="3"/>
              <c:layout>
                <c:manualLayout>
                  <c:x val="0"/>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金融!$I$1:$M$1</c:f>
              <c:strCache>
                <c:ptCount val="5"/>
                <c:pt idx="0">
                  <c:v>2018年</c:v>
                </c:pt>
                <c:pt idx="1">
                  <c:v>2019年</c:v>
                </c:pt>
                <c:pt idx="2">
                  <c:v>2020年</c:v>
                </c:pt>
                <c:pt idx="3">
                  <c:v>2021年</c:v>
                </c:pt>
                <c:pt idx="4">
                  <c:v>2022年</c:v>
                </c:pt>
              </c:strCache>
            </c:strRef>
          </c:cat>
          <c:val>
            <c:numRef>
              <c:f>金融!$I$2:$M$2</c:f>
              <c:numCache>
                <c:formatCode>0.0_ </c:formatCode>
                <c:ptCount val="5"/>
                <c:pt idx="0">
                  <c:v>2942</c:v>
                </c:pt>
                <c:pt idx="1">
                  <c:v>3345.6</c:v>
                </c:pt>
                <c:pt idx="2">
                  <c:v>3780.9</c:v>
                </c:pt>
                <c:pt idx="3">
                  <c:v>4075.3</c:v>
                </c:pt>
                <c:pt idx="4">
                  <c:v>4575.3</c:v>
                </c:pt>
              </c:numCache>
            </c:numRef>
          </c:val>
        </c:ser>
        <c:dLbls>
          <c:showLegendKey val="0"/>
          <c:showVal val="0"/>
          <c:showCatName val="0"/>
          <c:showSerName val="0"/>
          <c:showPercent val="0"/>
          <c:showBubbleSize val="0"/>
        </c:dLbls>
        <c:gapWidth val="75"/>
        <c:axId val="487616512"/>
        <c:axId val="487618048"/>
      </c:barChart>
      <c:lineChart>
        <c:grouping val="standard"/>
        <c:varyColors val="0"/>
        <c:ser>
          <c:idx val="1"/>
          <c:order val="1"/>
          <c:tx>
            <c:strRef>
              <c:f>金融!$A$3</c:f>
              <c:strCache>
                <c:ptCount val="1"/>
                <c:pt idx="0">
                  <c:v>增幅</c:v>
                </c:pt>
              </c:strCache>
            </c:strRef>
          </c:tx>
          <c:dLbls>
            <c:dLbl>
              <c:idx val="0"/>
              <c:layout>
                <c:manualLayout>
                  <c:x val="-0.0654166666666667"/>
                  <c:y val="-0.064340186643336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26388888888889"/>
                  <c:y val="0.06991907261592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43055555555556"/>
                  <c:y val="0.051400189559638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54166666666667"/>
                  <c:y val="0.056030183727034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43055555555556"/>
                  <c:y val="-0.07359944590259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金融!$B$1:$F$1</c:f>
              <c:strCache>
                <c:ptCount val="5"/>
                <c:pt idx="0">
                  <c:v>2011年</c:v>
                </c:pt>
                <c:pt idx="1">
                  <c:v>2012年</c:v>
                </c:pt>
                <c:pt idx="2">
                  <c:v>2013年</c:v>
                </c:pt>
                <c:pt idx="3">
                  <c:v>2014年</c:v>
                </c:pt>
                <c:pt idx="4">
                  <c:v>2015年</c:v>
                </c:pt>
              </c:strCache>
            </c:strRef>
          </c:cat>
          <c:val>
            <c:numRef>
              <c:f>金融!$I$3:$M$3</c:f>
              <c:numCache>
                <c:formatCode>0.0%</c:formatCode>
                <c:ptCount val="5"/>
                <c:pt idx="0">
                  <c:v>0.0790000000000001</c:v>
                </c:pt>
                <c:pt idx="1">
                  <c:v>0.137</c:v>
                </c:pt>
                <c:pt idx="2">
                  <c:v>0.13</c:v>
                </c:pt>
                <c:pt idx="3">
                  <c:v>0.078</c:v>
                </c:pt>
                <c:pt idx="4">
                  <c:v>0.123</c:v>
                </c:pt>
              </c:numCache>
            </c:numRef>
          </c:val>
          <c:smooth val="0"/>
        </c:ser>
        <c:dLbls>
          <c:showLegendKey val="0"/>
          <c:showVal val="0"/>
          <c:showCatName val="0"/>
          <c:showSerName val="0"/>
          <c:showPercent val="0"/>
          <c:showBubbleSize val="0"/>
        </c:dLbls>
        <c:marker val="1"/>
        <c:smooth val="0"/>
        <c:axId val="487619584"/>
        <c:axId val="487633664"/>
      </c:lineChart>
      <c:catAx>
        <c:axId val="487616512"/>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7618048"/>
        <c:crosses val="autoZero"/>
        <c:auto val="1"/>
        <c:lblAlgn val="ctr"/>
        <c:lblOffset val="100"/>
        <c:noMultiLvlLbl val="0"/>
      </c:catAx>
      <c:valAx>
        <c:axId val="487618048"/>
        <c:scaling>
          <c:orientation val="minMax"/>
        </c:scaling>
        <c:delete val="0"/>
        <c:axPos val="l"/>
        <c:numFmt formatCode="0_);\(0\)" sourceLinked="0"/>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87616512"/>
        <c:crosses val="autoZero"/>
        <c:crossBetween val="between"/>
      </c:valAx>
      <c:catAx>
        <c:axId val="487619584"/>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7633664"/>
        <c:crosses val="autoZero"/>
        <c:auto val="1"/>
        <c:lblAlgn val="ctr"/>
        <c:lblOffset val="100"/>
        <c:noMultiLvlLbl val="0"/>
      </c:catAx>
      <c:valAx>
        <c:axId val="487633664"/>
        <c:scaling>
          <c:orientation val="minMax"/>
          <c:max val="0.2"/>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7619584"/>
        <c:crosses val="max"/>
        <c:crossBetween val="between"/>
        <c:majorUnit val="0.05"/>
      </c:valAx>
    </c:plotArea>
    <c:legend>
      <c:legendPos val="b"/>
      <c:layout>
        <c:manualLayout>
          <c:xMode val="edge"/>
          <c:yMode val="edge"/>
          <c:x val="0.253333333333333"/>
          <c:y val="0.893134660250802"/>
          <c:w val="0.493333333333333"/>
          <c:h val="0.0837171916010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254593175853"/>
          <c:y val="0.0959025955088948"/>
          <c:w val="0.792506999125109"/>
          <c:h val="0.714608850976961"/>
        </c:manualLayout>
      </c:layout>
      <c:barChart>
        <c:barDir val="col"/>
        <c:grouping val="clustered"/>
        <c:varyColors val="0"/>
        <c:ser>
          <c:idx val="0"/>
          <c:order val="0"/>
          <c:tx>
            <c:strRef>
              <c:f>金融!$P$2</c:f>
              <c:strCache>
                <c:ptCount val="1"/>
                <c:pt idx="0">
                  <c:v>绝对值（亿元）</c:v>
                </c:pt>
              </c:strCache>
            </c:strRef>
          </c:tx>
          <c:spPr>
            <a:solidFill>
              <a:schemeClr val="accent1"/>
            </a:solidFill>
          </c:spPr>
          <c:invertIfNegative val="0"/>
          <c:dLbls>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金融!$X$1:$AB$1</c:f>
              <c:strCache>
                <c:ptCount val="5"/>
                <c:pt idx="0">
                  <c:v>2018年</c:v>
                </c:pt>
                <c:pt idx="1">
                  <c:v>2019年</c:v>
                </c:pt>
                <c:pt idx="2">
                  <c:v>2020年</c:v>
                </c:pt>
                <c:pt idx="3">
                  <c:v>2021年</c:v>
                </c:pt>
                <c:pt idx="4">
                  <c:v>2022年</c:v>
                </c:pt>
              </c:strCache>
            </c:strRef>
          </c:cat>
          <c:val>
            <c:numRef>
              <c:f>金融!$X$2:$AB$2</c:f>
              <c:numCache>
                <c:formatCode>0.0_ </c:formatCode>
                <c:ptCount val="5"/>
                <c:pt idx="0">
                  <c:v>2450.6</c:v>
                </c:pt>
                <c:pt idx="1">
                  <c:v>2823.2</c:v>
                </c:pt>
                <c:pt idx="2">
                  <c:v>3399.4</c:v>
                </c:pt>
                <c:pt idx="3">
                  <c:v>3860.8</c:v>
                </c:pt>
                <c:pt idx="4">
                  <c:v>4496.9</c:v>
                </c:pt>
              </c:numCache>
            </c:numRef>
          </c:val>
        </c:ser>
        <c:dLbls>
          <c:showLegendKey val="0"/>
          <c:showVal val="0"/>
          <c:showCatName val="0"/>
          <c:showSerName val="0"/>
          <c:showPercent val="0"/>
          <c:showBubbleSize val="0"/>
        </c:dLbls>
        <c:gapWidth val="75"/>
        <c:axId val="492395904"/>
        <c:axId val="492397696"/>
      </c:barChart>
      <c:lineChart>
        <c:grouping val="standard"/>
        <c:varyColors val="0"/>
        <c:ser>
          <c:idx val="1"/>
          <c:order val="1"/>
          <c:tx>
            <c:strRef>
              <c:f>金融!$P$3</c:f>
              <c:strCache>
                <c:ptCount val="1"/>
                <c:pt idx="0">
                  <c:v>增幅</c:v>
                </c:pt>
              </c:strCache>
            </c:strRef>
          </c:tx>
          <c:dLbls>
            <c:dLbl>
              <c:idx val="0"/>
              <c:layout>
                <c:manualLayout>
                  <c:x val="-0.0613473315835521"/>
                  <c:y val="-0.073599445902595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30139982502188"/>
                  <c:y val="-0.05508129192184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85695538057743"/>
                  <c:y val="0.065289078448527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43055555555556"/>
                  <c:y val="0.042141294838145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7083552055993"/>
                  <c:y val="-0.045821668124817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金融!$Q$1:$U$1</c:f>
              <c:strCache>
                <c:ptCount val="5"/>
                <c:pt idx="0">
                  <c:v>2011年</c:v>
                </c:pt>
                <c:pt idx="1">
                  <c:v>2012年</c:v>
                </c:pt>
                <c:pt idx="2">
                  <c:v>2013年</c:v>
                </c:pt>
                <c:pt idx="3">
                  <c:v>2014年</c:v>
                </c:pt>
                <c:pt idx="4">
                  <c:v>2015年</c:v>
                </c:pt>
              </c:strCache>
            </c:strRef>
          </c:cat>
          <c:val>
            <c:numRef>
              <c:f>金融!$X$3:$AB$3</c:f>
              <c:numCache>
                <c:formatCode>0.0%</c:formatCode>
                <c:ptCount val="5"/>
                <c:pt idx="0">
                  <c:v>0.078</c:v>
                </c:pt>
                <c:pt idx="1">
                  <c:v>0.152</c:v>
                </c:pt>
                <c:pt idx="2">
                  <c:v>0.204</c:v>
                </c:pt>
                <c:pt idx="3">
                  <c:v>0.136</c:v>
                </c:pt>
                <c:pt idx="4">
                  <c:v>0.165</c:v>
                </c:pt>
              </c:numCache>
            </c:numRef>
          </c:val>
          <c:smooth val="0"/>
        </c:ser>
        <c:dLbls>
          <c:showLegendKey val="0"/>
          <c:showVal val="0"/>
          <c:showCatName val="0"/>
          <c:showSerName val="0"/>
          <c:showPercent val="0"/>
          <c:showBubbleSize val="0"/>
        </c:dLbls>
        <c:marker val="1"/>
        <c:smooth val="0"/>
        <c:axId val="492399232"/>
        <c:axId val="492413312"/>
      </c:lineChart>
      <c:catAx>
        <c:axId val="49239590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2397696"/>
        <c:crosses val="autoZero"/>
        <c:auto val="1"/>
        <c:lblAlgn val="ctr"/>
        <c:lblOffset val="100"/>
        <c:noMultiLvlLbl val="0"/>
      </c:catAx>
      <c:valAx>
        <c:axId val="492397696"/>
        <c:scaling>
          <c:orientation val="minMax"/>
        </c:scaling>
        <c:delete val="0"/>
        <c:axPos val="l"/>
        <c:numFmt formatCode="0_);\(0\)" sourceLinked="0"/>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92395904"/>
        <c:crosses val="autoZero"/>
        <c:crossBetween val="between"/>
      </c:valAx>
      <c:catAx>
        <c:axId val="492399232"/>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2413312"/>
        <c:crosses val="autoZero"/>
        <c:auto val="1"/>
        <c:lblAlgn val="ctr"/>
        <c:lblOffset val="100"/>
        <c:noMultiLvlLbl val="0"/>
      </c:catAx>
      <c:valAx>
        <c:axId val="492413312"/>
        <c:scaling>
          <c:orientation val="minMax"/>
          <c:max val="0.3"/>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92399232"/>
        <c:crosses val="max"/>
        <c:crossBetween val="between"/>
        <c:majorUnit val="0.05"/>
      </c:valAx>
    </c:plotArea>
    <c:legend>
      <c:legendPos val="b"/>
      <c:layout>
        <c:manualLayout>
          <c:xMode val="edge"/>
          <c:yMode val="edge"/>
          <c:x val="0.264444444444444"/>
          <c:y val="0.902393919510061"/>
          <c:w val="0.493333333333333"/>
          <c:h val="0.0837171916010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学生数!$A$4</c:f>
              <c:strCache>
                <c:ptCount val="1"/>
                <c:pt idx="0">
                  <c:v>普通中学学生数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学生数!$H$3:$L$3</c:f>
              <c:strCache>
                <c:ptCount val="5"/>
                <c:pt idx="0">
                  <c:v>2018年</c:v>
                </c:pt>
                <c:pt idx="1">
                  <c:v>2019年</c:v>
                </c:pt>
                <c:pt idx="2">
                  <c:v>2020年</c:v>
                </c:pt>
                <c:pt idx="3">
                  <c:v>2021年</c:v>
                </c:pt>
                <c:pt idx="4">
                  <c:v>2022年</c:v>
                </c:pt>
              </c:strCache>
            </c:strRef>
          </c:cat>
          <c:val>
            <c:numRef>
              <c:f>学生数!$H$4:$L$4</c:f>
              <c:numCache>
                <c:formatCode>General</c:formatCode>
                <c:ptCount val="5"/>
                <c:pt idx="0">
                  <c:v>5.1</c:v>
                </c:pt>
                <c:pt idx="1">
                  <c:v>5.3</c:v>
                </c:pt>
                <c:pt idx="2">
                  <c:v>5.53</c:v>
                </c:pt>
                <c:pt idx="3" c:formatCode="0.0_ ">
                  <c:v>6</c:v>
                </c:pt>
                <c:pt idx="4">
                  <c:v>6.53</c:v>
                </c:pt>
              </c:numCache>
            </c:numRef>
          </c:val>
        </c:ser>
        <c:ser>
          <c:idx val="1"/>
          <c:order val="1"/>
          <c:tx>
            <c:strRef>
              <c:f>学生数!$A$5</c:f>
              <c:strCache>
                <c:ptCount val="1"/>
                <c:pt idx="0">
                  <c:v>小学学生数</c:v>
                </c:pt>
              </c:strCache>
            </c:strRef>
          </c:tx>
          <c:invertIfNegative val="0"/>
          <c:dLbls>
            <c:dLbl>
              <c:idx val="3"/>
              <c:layout>
                <c:manualLayout>
                  <c:x val="-0.00555555555555556"/>
                  <c:y val="0.01315789473684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3888888888888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学生数!$H$3:$L$3</c:f>
              <c:strCache>
                <c:ptCount val="5"/>
                <c:pt idx="0">
                  <c:v>2018年</c:v>
                </c:pt>
                <c:pt idx="1">
                  <c:v>2019年</c:v>
                </c:pt>
                <c:pt idx="2">
                  <c:v>2020年</c:v>
                </c:pt>
                <c:pt idx="3">
                  <c:v>2021年</c:v>
                </c:pt>
                <c:pt idx="4">
                  <c:v>2022年</c:v>
                </c:pt>
              </c:strCache>
            </c:strRef>
          </c:cat>
          <c:val>
            <c:numRef>
              <c:f>学生数!$H$5:$L$5</c:f>
              <c:numCache>
                <c:formatCode>General</c:formatCode>
                <c:ptCount val="5"/>
                <c:pt idx="0">
                  <c:v>10.9</c:v>
                </c:pt>
                <c:pt idx="1">
                  <c:v>11.3</c:v>
                </c:pt>
                <c:pt idx="2">
                  <c:v>11.65</c:v>
                </c:pt>
                <c:pt idx="3">
                  <c:v>12.31</c:v>
                </c:pt>
                <c:pt idx="4">
                  <c:v>12.93</c:v>
                </c:pt>
              </c:numCache>
            </c:numRef>
          </c:val>
        </c:ser>
        <c:dLbls>
          <c:showLegendKey val="0"/>
          <c:showVal val="0"/>
          <c:showCatName val="0"/>
          <c:showSerName val="0"/>
          <c:showPercent val="0"/>
          <c:showBubbleSize val="0"/>
        </c:dLbls>
        <c:gapWidth val="75"/>
        <c:axId val="492521728"/>
        <c:axId val="492531712"/>
      </c:barChart>
      <c:catAx>
        <c:axId val="49252172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2531712"/>
        <c:crosses val="autoZero"/>
        <c:auto val="1"/>
        <c:lblAlgn val="ctr"/>
        <c:lblOffset val="100"/>
        <c:noMultiLvlLbl val="0"/>
      </c:catAx>
      <c:valAx>
        <c:axId val="492531712"/>
        <c:scaling>
          <c:orientation val="minMax"/>
          <c:max val="14"/>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252172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医生数床位数!$B$4</c:f>
              <c:strCache>
                <c:ptCount val="1"/>
                <c:pt idx="0">
                  <c:v>医院、卫生院床位数（张）</c:v>
                </c:pt>
              </c:strCache>
            </c:strRef>
          </c:tx>
          <c:invertIfNegative val="0"/>
          <c:dLbls>
            <c:dLbl>
              <c:idx val="3"/>
              <c:layout>
                <c:manualLayout>
                  <c:x val="-0.00555555555555556"/>
                  <c:y val="0.013157894736842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医生数床位数!$I$3:$M$3</c:f>
              <c:strCache>
                <c:ptCount val="5"/>
                <c:pt idx="0">
                  <c:v>2018年</c:v>
                </c:pt>
                <c:pt idx="1">
                  <c:v>2019年</c:v>
                </c:pt>
                <c:pt idx="2">
                  <c:v>2020年</c:v>
                </c:pt>
                <c:pt idx="3">
                  <c:v>2021年</c:v>
                </c:pt>
                <c:pt idx="4">
                  <c:v>2022年</c:v>
                </c:pt>
              </c:strCache>
            </c:strRef>
          </c:cat>
          <c:val>
            <c:numRef>
              <c:f>医生数床位数!$I$4:$M$4</c:f>
              <c:numCache>
                <c:formatCode>General</c:formatCode>
                <c:ptCount val="5"/>
                <c:pt idx="0">
                  <c:v>6339</c:v>
                </c:pt>
                <c:pt idx="1">
                  <c:v>7934</c:v>
                </c:pt>
                <c:pt idx="2">
                  <c:v>8594</c:v>
                </c:pt>
                <c:pt idx="3">
                  <c:v>8579</c:v>
                </c:pt>
                <c:pt idx="4">
                  <c:v>8835</c:v>
                </c:pt>
              </c:numCache>
            </c:numRef>
          </c:val>
        </c:ser>
        <c:ser>
          <c:idx val="1"/>
          <c:order val="1"/>
          <c:tx>
            <c:strRef>
              <c:f>医生数床位数!$B$5</c:f>
              <c:strCache>
                <c:ptCount val="1"/>
                <c:pt idx="0">
                  <c:v>医院、卫生院医生数（人）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医生数床位数!$I$3:$M$3</c:f>
              <c:strCache>
                <c:ptCount val="5"/>
                <c:pt idx="0">
                  <c:v>2018年</c:v>
                </c:pt>
                <c:pt idx="1">
                  <c:v>2019年</c:v>
                </c:pt>
                <c:pt idx="2">
                  <c:v>2020年</c:v>
                </c:pt>
                <c:pt idx="3">
                  <c:v>2021年</c:v>
                </c:pt>
                <c:pt idx="4">
                  <c:v>2022年</c:v>
                </c:pt>
              </c:strCache>
            </c:strRef>
          </c:cat>
          <c:val>
            <c:numRef>
              <c:f>医生数床位数!$I$5:$M$5</c:f>
              <c:numCache>
                <c:formatCode>General</c:formatCode>
                <c:ptCount val="5"/>
                <c:pt idx="0">
                  <c:v>4638</c:v>
                </c:pt>
                <c:pt idx="1">
                  <c:v>5000</c:v>
                </c:pt>
                <c:pt idx="2">
                  <c:v>5761</c:v>
                </c:pt>
                <c:pt idx="3">
                  <c:v>6190</c:v>
                </c:pt>
                <c:pt idx="4">
                  <c:v>6483</c:v>
                </c:pt>
              </c:numCache>
            </c:numRef>
          </c:val>
        </c:ser>
        <c:dLbls>
          <c:showLegendKey val="0"/>
          <c:showVal val="0"/>
          <c:showCatName val="0"/>
          <c:showSerName val="0"/>
          <c:showPercent val="0"/>
          <c:showBubbleSize val="0"/>
        </c:dLbls>
        <c:gapWidth val="75"/>
        <c:axId val="492443904"/>
        <c:axId val="492449792"/>
      </c:barChart>
      <c:catAx>
        <c:axId val="49244390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2449792"/>
        <c:crosses val="autoZero"/>
        <c:auto val="1"/>
        <c:lblAlgn val="ctr"/>
        <c:lblOffset val="100"/>
        <c:noMultiLvlLbl val="0"/>
      </c:catAx>
      <c:valAx>
        <c:axId val="492449792"/>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2443904"/>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建成区面积!$A$2</c:f>
              <c:strCache>
                <c:ptCount val="1"/>
                <c:pt idx="0">
                  <c:v>建成区面积（平方公里）</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建成区面积!$I$1:$M$1</c:f>
              <c:strCache>
                <c:ptCount val="5"/>
                <c:pt idx="0">
                  <c:v>2018年</c:v>
                </c:pt>
                <c:pt idx="1">
                  <c:v>2019年</c:v>
                </c:pt>
                <c:pt idx="2">
                  <c:v>2020年</c:v>
                </c:pt>
                <c:pt idx="3">
                  <c:v>2021年</c:v>
                </c:pt>
                <c:pt idx="4">
                  <c:v>2022年</c:v>
                </c:pt>
              </c:strCache>
            </c:strRef>
          </c:cat>
          <c:val>
            <c:numRef>
              <c:f>建成区面积!$I$2:$M$2</c:f>
              <c:numCache>
                <c:formatCode>General</c:formatCode>
                <c:ptCount val="5"/>
                <c:pt idx="0">
                  <c:v>103.81</c:v>
                </c:pt>
                <c:pt idx="1">
                  <c:v>108.02</c:v>
                </c:pt>
                <c:pt idx="2">
                  <c:v>109.4</c:v>
                </c:pt>
                <c:pt idx="3">
                  <c:v>111.11</c:v>
                </c:pt>
                <c:pt idx="4">
                  <c:v>113.06</c:v>
                </c:pt>
              </c:numCache>
            </c:numRef>
          </c:val>
        </c:ser>
        <c:dLbls>
          <c:showLegendKey val="0"/>
          <c:showVal val="0"/>
          <c:showCatName val="0"/>
          <c:showSerName val="0"/>
          <c:showPercent val="0"/>
          <c:showBubbleSize val="0"/>
        </c:dLbls>
        <c:gapWidth val="150"/>
        <c:axId val="492474752"/>
        <c:axId val="492476288"/>
      </c:barChart>
      <c:catAx>
        <c:axId val="49247475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2476288"/>
        <c:crosses val="autoZero"/>
        <c:auto val="1"/>
        <c:lblAlgn val="ctr"/>
        <c:lblOffset val="100"/>
        <c:noMultiLvlLbl val="0"/>
      </c:catAx>
      <c:valAx>
        <c:axId val="492476288"/>
        <c:scaling>
          <c:orientation val="minMax"/>
        </c:scaling>
        <c:delete val="0"/>
        <c:axPos val="l"/>
        <c:majorGridlines>
          <c:spPr>
            <a:ln w="9525" cap="flat" cmpd="sng" algn="ctr">
              <a:solidFill>
                <a:schemeClr val="bg1"/>
              </a:solidFill>
              <a:prstDash val="solid"/>
              <a:round/>
            </a:ln>
          </c:spPr>
        </c:majorGridlines>
        <c:numFmt formatCode="General" sourceLinked="1"/>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9247475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57130358705162"/>
          <c:y val="0.0866433362496355"/>
          <c:w val="0.844465223097113"/>
          <c:h val="0.714608850976961"/>
        </c:manualLayout>
      </c:layout>
      <c:barChart>
        <c:barDir val="col"/>
        <c:grouping val="clustered"/>
        <c:varyColors val="0"/>
        <c:ser>
          <c:idx val="0"/>
          <c:order val="0"/>
          <c:tx>
            <c:strRef>
              <c:f>户籍人口!$A$2</c:f>
              <c:strCache>
                <c:ptCount val="1"/>
                <c:pt idx="0">
                  <c:v>绝对值（万人）</c:v>
                </c:pt>
              </c:strCache>
            </c:strRef>
          </c:tx>
          <c:spPr>
            <a:solidFill>
              <a:schemeClr val="accent1"/>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户籍人口!$I$1:$M$1</c:f>
              <c:strCache>
                <c:ptCount val="5"/>
                <c:pt idx="0">
                  <c:v>2018年</c:v>
                </c:pt>
                <c:pt idx="1">
                  <c:v>2019年</c:v>
                </c:pt>
                <c:pt idx="2">
                  <c:v>2020年</c:v>
                </c:pt>
                <c:pt idx="3">
                  <c:v>2021年</c:v>
                </c:pt>
                <c:pt idx="4">
                  <c:v>2022年</c:v>
                </c:pt>
              </c:strCache>
            </c:strRef>
          </c:cat>
          <c:val>
            <c:numRef>
              <c:f>户籍人口!$I$2:$M$2</c:f>
              <c:numCache>
                <c:formatCode>0.00_ </c:formatCode>
                <c:ptCount val="5"/>
                <c:pt idx="0">
                  <c:v>81.8362</c:v>
                </c:pt>
                <c:pt idx="1">
                  <c:v>83.6093</c:v>
                </c:pt>
                <c:pt idx="2">
                  <c:v>85.3378</c:v>
                </c:pt>
                <c:pt idx="3">
                  <c:v>87.1656</c:v>
                </c:pt>
                <c:pt idx="4">
                  <c:v>89.082</c:v>
                </c:pt>
              </c:numCache>
            </c:numRef>
          </c:val>
        </c:ser>
        <c:dLbls>
          <c:showLegendKey val="0"/>
          <c:showVal val="0"/>
          <c:showCatName val="0"/>
          <c:showSerName val="0"/>
          <c:showPercent val="0"/>
          <c:showBubbleSize val="0"/>
        </c:dLbls>
        <c:gapWidth val="75"/>
        <c:axId val="492843392"/>
        <c:axId val="492844928"/>
      </c:barChart>
      <c:lineChart>
        <c:grouping val="standard"/>
        <c:varyColors val="0"/>
        <c:ser>
          <c:idx val="1"/>
          <c:order val="1"/>
          <c:tx>
            <c:strRef>
              <c:f>户籍人口!$A$3</c:f>
              <c:strCache>
                <c:ptCount val="1"/>
                <c:pt idx="0">
                  <c:v>增幅</c:v>
                </c:pt>
              </c:strCache>
            </c:strRef>
          </c:tx>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户籍人口!$B$1:$F$1</c:f>
              <c:strCache>
                <c:ptCount val="5"/>
                <c:pt idx="0">
                  <c:v>2011年</c:v>
                </c:pt>
                <c:pt idx="1">
                  <c:v>2012年</c:v>
                </c:pt>
                <c:pt idx="2">
                  <c:v>2013年</c:v>
                </c:pt>
                <c:pt idx="3">
                  <c:v>2014年</c:v>
                </c:pt>
                <c:pt idx="4">
                  <c:v>2015年</c:v>
                </c:pt>
              </c:strCache>
            </c:strRef>
          </c:cat>
          <c:val>
            <c:numRef>
              <c:f>户籍人口!$I$3:$M$3</c:f>
              <c:numCache>
                <c:formatCode>0.0%</c:formatCode>
                <c:ptCount val="5"/>
                <c:pt idx="0">
                  <c:v>0.023</c:v>
                </c:pt>
                <c:pt idx="1">
                  <c:v>0.022</c:v>
                </c:pt>
                <c:pt idx="2">
                  <c:v>0.021</c:v>
                </c:pt>
                <c:pt idx="3">
                  <c:v>0.021</c:v>
                </c:pt>
                <c:pt idx="4">
                  <c:v>0.022</c:v>
                </c:pt>
              </c:numCache>
            </c:numRef>
          </c:val>
          <c:smooth val="0"/>
        </c:ser>
        <c:dLbls>
          <c:showLegendKey val="0"/>
          <c:showVal val="0"/>
          <c:showCatName val="0"/>
          <c:showSerName val="0"/>
          <c:showPercent val="0"/>
          <c:showBubbleSize val="0"/>
        </c:dLbls>
        <c:marker val="1"/>
        <c:smooth val="0"/>
        <c:axId val="492846464"/>
        <c:axId val="492868736"/>
      </c:lineChart>
      <c:catAx>
        <c:axId val="492843392"/>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2844928"/>
        <c:crosses val="autoZero"/>
        <c:auto val="1"/>
        <c:lblAlgn val="ctr"/>
        <c:lblOffset val="100"/>
        <c:noMultiLvlLbl val="0"/>
      </c:catAx>
      <c:valAx>
        <c:axId val="492844928"/>
        <c:scaling>
          <c:orientation val="minMax"/>
          <c:max val="90"/>
          <c:min val="60"/>
        </c:scaling>
        <c:delete val="0"/>
        <c:axPos val="l"/>
        <c:numFmt formatCode="0_ " sourceLinked="0"/>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92843392"/>
        <c:crosses val="autoZero"/>
        <c:crossBetween val="between"/>
        <c:majorUnit val="10"/>
      </c:valAx>
      <c:catAx>
        <c:axId val="492846464"/>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2868736"/>
        <c:crosses val="autoZero"/>
        <c:auto val="1"/>
        <c:lblAlgn val="ctr"/>
        <c:lblOffset val="100"/>
        <c:noMultiLvlLbl val="0"/>
      </c:catAx>
      <c:valAx>
        <c:axId val="492868736"/>
        <c:scaling>
          <c:orientation val="minMax"/>
          <c:max val="0.05"/>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92846464"/>
        <c:crosses val="max"/>
        <c:crossBetween val="between"/>
        <c:majorUnit val="0.01"/>
      </c:valAx>
    </c:plotArea>
    <c:legend>
      <c:legendPos val="b"/>
      <c:layout>
        <c:manualLayout>
          <c:xMode val="edge"/>
          <c:yMode val="edge"/>
          <c:x val="0.261666666666667"/>
          <c:y val="0.902393919510061"/>
          <c:w val="0.493333333333333"/>
          <c:h val="0.0837171916010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93700787402"/>
          <c:y val="0.105161854768154"/>
          <c:w val="0.783923447069117"/>
          <c:h val="0.714608850976961"/>
        </c:manualLayout>
      </c:layout>
      <c:barChart>
        <c:barDir val="col"/>
        <c:grouping val="clustered"/>
        <c:varyColors val="0"/>
        <c:ser>
          <c:idx val="0"/>
          <c:order val="0"/>
          <c:tx>
            <c:strRef>
              <c:f>农业!$A$2</c:f>
              <c:strCache>
                <c:ptCount val="1"/>
                <c:pt idx="0">
                  <c:v>绝对值（亿元）</c:v>
                </c:pt>
              </c:strCache>
            </c:strRef>
          </c:tx>
          <c:spPr>
            <a:solidFill>
              <a:schemeClr val="accent1"/>
            </a:solidFill>
          </c:spPr>
          <c:invertIfNegative val="0"/>
          <c:dLbls>
            <c:dLbl>
              <c:idx val="0"/>
              <c:layout>
                <c:manualLayout>
                  <c:x val="0.00279524807826695"/>
                  <c:y val="-0.01307189542483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农业!$J$1:$N$1</c:f>
              <c:strCache>
                <c:ptCount val="5"/>
                <c:pt idx="0">
                  <c:v>2018年</c:v>
                </c:pt>
                <c:pt idx="1">
                  <c:v>2019年</c:v>
                </c:pt>
                <c:pt idx="2">
                  <c:v>2020年</c:v>
                </c:pt>
                <c:pt idx="3">
                  <c:v>2021年</c:v>
                </c:pt>
                <c:pt idx="4">
                  <c:v>2022年</c:v>
                </c:pt>
              </c:strCache>
            </c:strRef>
          </c:cat>
          <c:val>
            <c:numRef>
              <c:f>农业!$J$2:$N$2</c:f>
              <c:numCache>
                <c:formatCode>General</c:formatCode>
                <c:ptCount val="5"/>
                <c:pt idx="0">
                  <c:v>21.44</c:v>
                </c:pt>
                <c:pt idx="1">
                  <c:v>23.01</c:v>
                </c:pt>
                <c:pt idx="2">
                  <c:v>24.21</c:v>
                </c:pt>
                <c:pt idx="3">
                  <c:v>25.09</c:v>
                </c:pt>
                <c:pt idx="4">
                  <c:v>27.43</c:v>
                </c:pt>
              </c:numCache>
            </c:numRef>
          </c:val>
        </c:ser>
        <c:dLbls>
          <c:showLegendKey val="0"/>
          <c:showVal val="0"/>
          <c:showCatName val="0"/>
          <c:showSerName val="0"/>
          <c:showPercent val="0"/>
          <c:showBubbleSize val="0"/>
        </c:dLbls>
        <c:gapWidth val="75"/>
        <c:axId val="481939840"/>
        <c:axId val="481941376"/>
      </c:barChart>
      <c:lineChart>
        <c:grouping val="standard"/>
        <c:varyColors val="0"/>
        <c:ser>
          <c:idx val="1"/>
          <c:order val="1"/>
          <c:tx>
            <c:strRef>
              <c:f>农业!$A$3</c:f>
              <c:strCache>
                <c:ptCount val="1"/>
                <c:pt idx="0">
                  <c:v>增幅</c:v>
                </c:pt>
              </c:strCache>
            </c:strRef>
          </c:tx>
          <c:dLbls>
            <c:dLbl>
              <c:idx val="0"/>
              <c:layout>
                <c:manualLayout>
                  <c:x val="-0.0639517544583657"/>
                  <c:y val="-0.045409225807558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农业!$C$1:$G$1</c:f>
              <c:numCache>
                <c:formatCode>General</c:formatCode>
                <c:ptCount val="5"/>
              </c:numCache>
            </c:numRef>
          </c:cat>
          <c:val>
            <c:numRef>
              <c:f>农业!$J$3:$N$3</c:f>
              <c:numCache>
                <c:formatCode>0.0%</c:formatCode>
                <c:ptCount val="5"/>
                <c:pt idx="0">
                  <c:v>0.021</c:v>
                </c:pt>
                <c:pt idx="1">
                  <c:v>0.023</c:v>
                </c:pt>
                <c:pt idx="2">
                  <c:v>0.053</c:v>
                </c:pt>
                <c:pt idx="3">
                  <c:v>0.072</c:v>
                </c:pt>
                <c:pt idx="4">
                  <c:v>0.017</c:v>
                </c:pt>
              </c:numCache>
            </c:numRef>
          </c:val>
          <c:smooth val="0"/>
        </c:ser>
        <c:dLbls>
          <c:showLegendKey val="0"/>
          <c:showVal val="0"/>
          <c:showCatName val="0"/>
          <c:showSerName val="0"/>
          <c:showPercent val="0"/>
          <c:showBubbleSize val="0"/>
        </c:dLbls>
        <c:marker val="1"/>
        <c:smooth val="0"/>
        <c:axId val="481942912"/>
        <c:axId val="484902016"/>
      </c:lineChart>
      <c:catAx>
        <c:axId val="48193984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1941376"/>
        <c:crosses val="autoZero"/>
        <c:auto val="1"/>
        <c:lblAlgn val="ctr"/>
        <c:lblOffset val="100"/>
        <c:noMultiLvlLbl val="0"/>
      </c:catAx>
      <c:valAx>
        <c:axId val="481941376"/>
        <c:scaling>
          <c:orientation val="minMax"/>
          <c:max val="28"/>
          <c:min val="20"/>
        </c:scaling>
        <c:delete val="0"/>
        <c:axPos val="l"/>
        <c:numFmt formatCode="General" sourceLinked="1"/>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81939840"/>
        <c:crosses val="autoZero"/>
        <c:crossBetween val="between"/>
        <c:majorUnit val="2"/>
      </c:valAx>
      <c:catAx>
        <c:axId val="481942912"/>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4902016"/>
        <c:crosses val="autoZero"/>
        <c:auto val="1"/>
        <c:lblAlgn val="ctr"/>
        <c:lblOffset val="100"/>
        <c:noMultiLvlLbl val="0"/>
      </c:catAx>
      <c:valAx>
        <c:axId val="484902016"/>
        <c:scaling>
          <c:orientation val="minMax"/>
          <c:max val="0.2"/>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1942912"/>
        <c:crosses val="max"/>
        <c:crossBetween val="between"/>
        <c:majorUnit val="0.05"/>
      </c:valAx>
    </c:plotArea>
    <c:legend>
      <c:legendPos val="b"/>
      <c:layout>
        <c:manualLayout>
          <c:xMode val="edge"/>
          <c:yMode val="edge"/>
          <c:x val="0.281111056086543"/>
          <c:y val="0.902393769406275"/>
          <c:w val="0.460000110049137"/>
          <c:h val="0.0837170843840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93700787402"/>
          <c:y val="0.105161854768154"/>
          <c:w val="0.783923447069117"/>
          <c:h val="0.714608850976961"/>
        </c:manualLayout>
      </c:layout>
      <c:barChart>
        <c:barDir val="col"/>
        <c:grouping val="clustered"/>
        <c:varyColors val="0"/>
        <c:ser>
          <c:idx val="0"/>
          <c:order val="0"/>
          <c:tx>
            <c:strRef>
              <c:f>居民收入!$A$2</c:f>
              <c:strCache>
                <c:ptCount val="1"/>
                <c:pt idx="0">
                  <c:v>绝对值（元）</c:v>
                </c:pt>
              </c:strCache>
            </c:strRef>
          </c:tx>
          <c:spPr>
            <a:solidFill>
              <a:schemeClr val="accent1"/>
            </a:solidFill>
          </c:spPr>
          <c:invertIfNegative val="0"/>
          <c:dLbls>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居民收入!$J$1:$N$1</c:f>
              <c:strCache>
                <c:ptCount val="5"/>
                <c:pt idx="0">
                  <c:v>2018年</c:v>
                </c:pt>
                <c:pt idx="1">
                  <c:v>2019年</c:v>
                </c:pt>
                <c:pt idx="2">
                  <c:v>2020年</c:v>
                </c:pt>
                <c:pt idx="3">
                  <c:v>2021年</c:v>
                </c:pt>
                <c:pt idx="4">
                  <c:v>2022年</c:v>
                </c:pt>
              </c:strCache>
            </c:strRef>
          </c:cat>
          <c:val>
            <c:numRef>
              <c:f>居民收入!$J$2:$N$2</c:f>
              <c:numCache>
                <c:formatCode>General</c:formatCode>
                <c:ptCount val="5"/>
                <c:pt idx="0">
                  <c:v>71207</c:v>
                </c:pt>
                <c:pt idx="1">
                  <c:v>77150</c:v>
                </c:pt>
                <c:pt idx="2">
                  <c:v>80137</c:v>
                </c:pt>
                <c:pt idx="3">
                  <c:v>86628</c:v>
                </c:pt>
                <c:pt idx="4">
                  <c:v>86975</c:v>
                </c:pt>
              </c:numCache>
            </c:numRef>
          </c:val>
        </c:ser>
        <c:dLbls>
          <c:showLegendKey val="0"/>
          <c:showVal val="0"/>
          <c:showCatName val="0"/>
          <c:showSerName val="0"/>
          <c:showPercent val="0"/>
          <c:showBubbleSize val="0"/>
        </c:dLbls>
        <c:gapWidth val="75"/>
        <c:axId val="492908544"/>
        <c:axId val="492910080"/>
      </c:barChart>
      <c:lineChart>
        <c:grouping val="standard"/>
        <c:varyColors val="0"/>
        <c:ser>
          <c:idx val="1"/>
          <c:order val="1"/>
          <c:tx>
            <c:strRef>
              <c:f>居民收入!$A$3</c:f>
              <c:strCache>
                <c:ptCount val="1"/>
                <c:pt idx="0">
                  <c:v>增幅</c:v>
                </c:pt>
              </c:strCache>
            </c:strRef>
          </c:tx>
          <c:dLbls>
            <c:dLbl>
              <c:idx val="0"/>
              <c:layout>
                <c:manualLayout>
                  <c:x val="-0.0639516618740057"/>
                  <c:y val="0.05045129775444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居民收入!$C$1:$G$1</c:f>
              <c:strCache>
                <c:ptCount val="5"/>
                <c:pt idx="0">
                  <c:v>2011年</c:v>
                </c:pt>
                <c:pt idx="1">
                  <c:v>2012年</c:v>
                </c:pt>
                <c:pt idx="2">
                  <c:v>2013年</c:v>
                </c:pt>
                <c:pt idx="3">
                  <c:v>2014年</c:v>
                </c:pt>
                <c:pt idx="4">
                  <c:v>2015年</c:v>
                </c:pt>
              </c:strCache>
            </c:strRef>
          </c:cat>
          <c:val>
            <c:numRef>
              <c:f>居民收入!$J$3:$N$3</c:f>
              <c:numCache>
                <c:formatCode>0.0%</c:formatCode>
                <c:ptCount val="5"/>
                <c:pt idx="0">
                  <c:v>0.078</c:v>
                </c:pt>
                <c:pt idx="1">
                  <c:v>0.083</c:v>
                </c:pt>
                <c:pt idx="2">
                  <c:v>0.039</c:v>
                </c:pt>
                <c:pt idx="3">
                  <c:v>0.081</c:v>
                </c:pt>
                <c:pt idx="4">
                  <c:v>0.00400000000000001</c:v>
                </c:pt>
              </c:numCache>
            </c:numRef>
          </c:val>
          <c:smooth val="0"/>
        </c:ser>
        <c:dLbls>
          <c:showLegendKey val="0"/>
          <c:showVal val="0"/>
          <c:showCatName val="0"/>
          <c:showSerName val="0"/>
          <c:showPercent val="0"/>
          <c:showBubbleSize val="0"/>
        </c:dLbls>
        <c:marker val="1"/>
        <c:smooth val="0"/>
        <c:axId val="492911616"/>
        <c:axId val="492929792"/>
      </c:lineChart>
      <c:catAx>
        <c:axId val="49290854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2910080"/>
        <c:crosses val="autoZero"/>
        <c:auto val="1"/>
        <c:lblAlgn val="ctr"/>
        <c:lblOffset val="100"/>
        <c:noMultiLvlLbl val="0"/>
      </c:catAx>
      <c:valAx>
        <c:axId val="492910080"/>
        <c:scaling>
          <c:orientation val="minMax"/>
          <c:min val="20000"/>
        </c:scaling>
        <c:delete val="0"/>
        <c:axPos val="l"/>
        <c:numFmt formatCode="General" sourceLinked="1"/>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92908544"/>
        <c:crosses val="autoZero"/>
        <c:crossBetween val="between"/>
        <c:majorUnit val="10000"/>
      </c:valAx>
      <c:catAx>
        <c:axId val="492911616"/>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2929792"/>
        <c:crosses val="autoZero"/>
        <c:auto val="1"/>
        <c:lblAlgn val="ctr"/>
        <c:lblOffset val="100"/>
        <c:noMultiLvlLbl val="0"/>
      </c:catAx>
      <c:valAx>
        <c:axId val="492929792"/>
        <c:scaling>
          <c:orientation val="minMax"/>
          <c:max val="0.2"/>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92911616"/>
        <c:crosses val="max"/>
        <c:crossBetween val="between"/>
        <c:majorUnit val="0.05"/>
      </c:valAx>
    </c:plotArea>
    <c:legend>
      <c:legendPos val="b"/>
      <c:layout>
        <c:manualLayout>
          <c:xMode val="edge"/>
          <c:yMode val="edge"/>
          <c:x val="0.281111056086543"/>
          <c:y val="0.902393769406275"/>
          <c:w val="0.460000110049137"/>
          <c:h val="0.0837170843840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93700787402"/>
          <c:y val="0.0912729658792651"/>
          <c:w val="0.783923447069117"/>
          <c:h val="0.714608850976961"/>
        </c:manualLayout>
      </c:layout>
      <c:barChart>
        <c:barDir val="col"/>
        <c:grouping val="clustered"/>
        <c:varyColors val="0"/>
        <c:ser>
          <c:idx val="0"/>
          <c:order val="0"/>
          <c:tx>
            <c:strRef>
              <c:f>居民收入!$P$2</c:f>
              <c:strCache>
                <c:ptCount val="1"/>
                <c:pt idx="0">
                  <c:v>绝对值（元）</c:v>
                </c:pt>
              </c:strCache>
            </c:strRef>
          </c:tx>
          <c:spPr>
            <a:solidFill>
              <a:schemeClr val="accent1"/>
            </a:solidFill>
          </c:spPr>
          <c:invertIfNegative val="0"/>
          <c:dLbls>
            <c:dLbl>
              <c:idx val="3"/>
              <c:layout>
                <c:manualLayout>
                  <c:x val="0"/>
                  <c:y val="0.0129870129870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居民收入!$Y$1:$AC$1</c:f>
              <c:strCache>
                <c:ptCount val="5"/>
                <c:pt idx="0">
                  <c:v>2018年</c:v>
                </c:pt>
                <c:pt idx="1">
                  <c:v>2019年</c:v>
                </c:pt>
                <c:pt idx="2">
                  <c:v>2020年</c:v>
                </c:pt>
                <c:pt idx="3">
                  <c:v>2021年</c:v>
                </c:pt>
                <c:pt idx="4">
                  <c:v>2022年</c:v>
                </c:pt>
              </c:strCache>
            </c:strRef>
          </c:cat>
          <c:val>
            <c:numRef>
              <c:f>居民收入!$Y$2:$AC$2</c:f>
              <c:numCache>
                <c:formatCode>General</c:formatCode>
                <c:ptCount val="5"/>
                <c:pt idx="0">
                  <c:v>36389</c:v>
                </c:pt>
                <c:pt idx="1">
                  <c:v>39529</c:v>
                </c:pt>
                <c:pt idx="2">
                  <c:v>42158</c:v>
                </c:pt>
                <c:pt idx="3">
                  <c:v>46121</c:v>
                </c:pt>
                <c:pt idx="4">
                  <c:v>47042</c:v>
                </c:pt>
              </c:numCache>
            </c:numRef>
          </c:val>
        </c:ser>
        <c:dLbls>
          <c:showLegendKey val="0"/>
          <c:showVal val="0"/>
          <c:showCatName val="0"/>
          <c:showSerName val="0"/>
          <c:showPercent val="0"/>
          <c:showBubbleSize val="0"/>
        </c:dLbls>
        <c:gapWidth val="75"/>
        <c:axId val="494013824"/>
        <c:axId val="494023808"/>
      </c:barChart>
      <c:lineChart>
        <c:grouping val="standard"/>
        <c:varyColors val="0"/>
        <c:ser>
          <c:idx val="1"/>
          <c:order val="1"/>
          <c:tx>
            <c:strRef>
              <c:f>居民收入!$P$3</c:f>
              <c:strCache>
                <c:ptCount val="1"/>
                <c:pt idx="0">
                  <c:v>增幅</c:v>
                </c:pt>
              </c:strCache>
            </c:strRef>
          </c:tx>
          <c:dLbls>
            <c:dLbl>
              <c:idx val="0"/>
              <c:layout>
                <c:manualLayout>
                  <c:x val="-0.054030677357991"/>
                  <c:y val="0.059710557013706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居民收入!$Q$1:$V$1</c:f>
              <c:strCache>
                <c:ptCount val="6"/>
                <c:pt idx="0">
                  <c:v>2010年</c:v>
                </c:pt>
                <c:pt idx="1">
                  <c:v>2011年</c:v>
                </c:pt>
                <c:pt idx="2">
                  <c:v>2012年</c:v>
                </c:pt>
                <c:pt idx="3">
                  <c:v>2013年</c:v>
                </c:pt>
                <c:pt idx="4">
                  <c:v>2014年</c:v>
                </c:pt>
                <c:pt idx="5">
                  <c:v>2015年</c:v>
                </c:pt>
              </c:strCache>
            </c:strRef>
          </c:cat>
          <c:val>
            <c:numRef>
              <c:f>居民收入!$Y$3:$AC$3</c:f>
              <c:numCache>
                <c:formatCode>0.0%</c:formatCode>
                <c:ptCount val="5"/>
                <c:pt idx="0">
                  <c:v>0.09</c:v>
                </c:pt>
                <c:pt idx="1">
                  <c:v>0.086</c:v>
                </c:pt>
                <c:pt idx="2">
                  <c:v>0.067</c:v>
                </c:pt>
                <c:pt idx="3">
                  <c:v>0.094</c:v>
                </c:pt>
                <c:pt idx="4">
                  <c:v>0.02</c:v>
                </c:pt>
              </c:numCache>
            </c:numRef>
          </c:val>
          <c:smooth val="0"/>
        </c:ser>
        <c:dLbls>
          <c:showLegendKey val="0"/>
          <c:showVal val="0"/>
          <c:showCatName val="0"/>
          <c:showSerName val="0"/>
          <c:showPercent val="0"/>
          <c:showBubbleSize val="0"/>
        </c:dLbls>
        <c:marker val="1"/>
        <c:smooth val="0"/>
        <c:axId val="494025344"/>
        <c:axId val="494039424"/>
      </c:lineChart>
      <c:catAx>
        <c:axId val="49401382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4023808"/>
        <c:crosses val="autoZero"/>
        <c:auto val="1"/>
        <c:lblAlgn val="ctr"/>
        <c:lblOffset val="100"/>
        <c:noMultiLvlLbl val="0"/>
      </c:catAx>
      <c:valAx>
        <c:axId val="494023808"/>
        <c:scaling>
          <c:orientation val="minMax"/>
        </c:scaling>
        <c:delete val="0"/>
        <c:axPos val="l"/>
        <c:numFmt formatCode="General" sourceLinked="1"/>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94013824"/>
        <c:crosses val="autoZero"/>
        <c:crossBetween val="between"/>
        <c:majorUnit val="10000"/>
      </c:valAx>
      <c:catAx>
        <c:axId val="494025344"/>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94039424"/>
        <c:crosses val="autoZero"/>
        <c:auto val="1"/>
        <c:lblAlgn val="ctr"/>
        <c:lblOffset val="100"/>
        <c:noMultiLvlLbl val="0"/>
      </c:catAx>
      <c:valAx>
        <c:axId val="494039424"/>
        <c:scaling>
          <c:orientation val="minMax"/>
          <c:max val="0.2"/>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94025344"/>
        <c:crosses val="max"/>
        <c:crossBetween val="between"/>
        <c:majorUnit val="0.05"/>
      </c:valAx>
    </c:plotArea>
    <c:legend>
      <c:legendPos val="b"/>
      <c:layout>
        <c:manualLayout>
          <c:xMode val="edge"/>
          <c:yMode val="edge"/>
          <c:x val="0.270000055024568"/>
          <c:y val="0.902393905307291"/>
          <c:w val="0.460000110049137"/>
          <c:h val="0.08371714899273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810148731409"/>
          <c:y val="0.109791484397784"/>
          <c:w val="0.792895888013999"/>
          <c:h val="0.714608850976961"/>
        </c:manualLayout>
      </c:layout>
      <c:barChart>
        <c:barDir val="col"/>
        <c:grouping val="clustered"/>
        <c:varyColors val="0"/>
        <c:ser>
          <c:idx val="0"/>
          <c:order val="0"/>
          <c:tx>
            <c:strRef>
              <c:f>工业总产值!$A$8</c:f>
              <c:strCache>
                <c:ptCount val="1"/>
                <c:pt idx="0">
                  <c:v>绝对值（亿元）</c:v>
                </c:pt>
              </c:strCache>
            </c:strRef>
          </c:tx>
          <c:spPr>
            <a:solidFill>
              <a:schemeClr val="accent1"/>
            </a:solidFill>
          </c:spPr>
          <c:invertIfNegative val="0"/>
          <c:dLbls>
            <c:dLbl>
              <c:idx val="3"/>
              <c:layout>
                <c:manualLayout>
                  <c:x val="0.0166666666666667"/>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9259259259259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工业总产值!$I$7:$M$7</c:f>
              <c:strCache>
                <c:ptCount val="5"/>
                <c:pt idx="0">
                  <c:v>2018年</c:v>
                </c:pt>
                <c:pt idx="1">
                  <c:v>2019年</c:v>
                </c:pt>
                <c:pt idx="2">
                  <c:v>2020年</c:v>
                </c:pt>
                <c:pt idx="3">
                  <c:v>2021年</c:v>
                </c:pt>
                <c:pt idx="4">
                  <c:v>2022年</c:v>
                </c:pt>
              </c:strCache>
            </c:strRef>
          </c:cat>
          <c:val>
            <c:numRef>
              <c:f>工业总产值!$I$8:$M$8</c:f>
              <c:numCache>
                <c:formatCode>0.0_ </c:formatCode>
                <c:ptCount val="5"/>
                <c:pt idx="0">
                  <c:v>544.5</c:v>
                </c:pt>
                <c:pt idx="1">
                  <c:v>602.4</c:v>
                </c:pt>
                <c:pt idx="2">
                  <c:v>667.7</c:v>
                </c:pt>
                <c:pt idx="3">
                  <c:v>1163.7</c:v>
                </c:pt>
                <c:pt idx="4">
                  <c:v>1639.3</c:v>
                </c:pt>
              </c:numCache>
            </c:numRef>
          </c:val>
        </c:ser>
        <c:dLbls>
          <c:showLegendKey val="0"/>
          <c:showVal val="0"/>
          <c:showCatName val="0"/>
          <c:showSerName val="0"/>
          <c:showPercent val="0"/>
          <c:showBubbleSize val="0"/>
        </c:dLbls>
        <c:gapWidth val="75"/>
        <c:axId val="484958208"/>
        <c:axId val="484959744"/>
      </c:barChart>
      <c:lineChart>
        <c:grouping val="standard"/>
        <c:varyColors val="0"/>
        <c:ser>
          <c:idx val="1"/>
          <c:order val="1"/>
          <c:tx>
            <c:strRef>
              <c:f>工业总产值!$A$9</c:f>
              <c:strCache>
                <c:ptCount val="1"/>
                <c:pt idx="0">
                  <c:v>增幅</c:v>
                </c:pt>
              </c:strCache>
            </c:strRef>
          </c:tx>
          <c:dLbls>
            <c:dLbl>
              <c:idx val="0"/>
              <c:layout>
                <c:manualLayout>
                  <c:x val="-0.0613472419851867"/>
                  <c:y val="0.052926585404303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13473315835521"/>
                  <c:y val="-0.056030183727034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2572685627823"/>
                  <c:y val="0.01660767823164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70833333333335"/>
                  <c:y val="-0.097696850393700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工业总产值!$B$7:$F$7</c:f>
              <c:strCache>
                <c:ptCount val="5"/>
                <c:pt idx="0">
                  <c:v>2011年</c:v>
                </c:pt>
                <c:pt idx="1">
                  <c:v>2012年</c:v>
                </c:pt>
                <c:pt idx="2">
                  <c:v>2013年</c:v>
                </c:pt>
                <c:pt idx="3">
                  <c:v>2014年</c:v>
                </c:pt>
                <c:pt idx="4">
                  <c:v>2015年</c:v>
                </c:pt>
              </c:strCache>
            </c:strRef>
          </c:cat>
          <c:val>
            <c:numRef>
              <c:f>工业总产值!$I$9:$M$9</c:f>
              <c:numCache>
                <c:formatCode>0.0%</c:formatCode>
                <c:ptCount val="5"/>
                <c:pt idx="0">
                  <c:v>0.126</c:v>
                </c:pt>
                <c:pt idx="1">
                  <c:v>0.095</c:v>
                </c:pt>
                <c:pt idx="2">
                  <c:v>0.067</c:v>
                </c:pt>
                <c:pt idx="3">
                  <c:v>0.667000000000001</c:v>
                </c:pt>
                <c:pt idx="4">
                  <c:v>0.365</c:v>
                </c:pt>
              </c:numCache>
            </c:numRef>
          </c:val>
          <c:smooth val="0"/>
        </c:ser>
        <c:dLbls>
          <c:showLegendKey val="0"/>
          <c:showVal val="0"/>
          <c:showCatName val="0"/>
          <c:showSerName val="0"/>
          <c:showPercent val="0"/>
          <c:showBubbleSize val="0"/>
        </c:dLbls>
        <c:marker val="1"/>
        <c:smooth val="0"/>
        <c:axId val="484961280"/>
        <c:axId val="484971264"/>
      </c:lineChart>
      <c:catAx>
        <c:axId val="48495820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4959744"/>
        <c:crosses val="autoZero"/>
        <c:auto val="1"/>
        <c:lblAlgn val="ctr"/>
        <c:lblOffset val="100"/>
        <c:noMultiLvlLbl val="0"/>
      </c:catAx>
      <c:valAx>
        <c:axId val="484959744"/>
        <c:scaling>
          <c:orientation val="minMax"/>
        </c:scaling>
        <c:delete val="0"/>
        <c:axPos val="l"/>
        <c:numFmt formatCode="0_);\(0\)" sourceLinked="0"/>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84958208"/>
        <c:crosses val="autoZero"/>
        <c:crossBetween val="between"/>
      </c:valAx>
      <c:catAx>
        <c:axId val="484961280"/>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4971264"/>
        <c:crosses val="autoZero"/>
        <c:auto val="1"/>
        <c:lblAlgn val="ctr"/>
        <c:lblOffset val="100"/>
        <c:noMultiLvlLbl val="0"/>
      </c:catAx>
      <c:valAx>
        <c:axId val="484971264"/>
        <c:scaling>
          <c:orientation val="minMax"/>
          <c:max val="0.700000000000001"/>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4961280"/>
        <c:crosses val="max"/>
        <c:crossBetween val="between"/>
        <c:majorUnit val="0.1"/>
      </c:valAx>
    </c:plotArea>
    <c:legend>
      <c:legendPos val="b"/>
      <c:layout>
        <c:manualLayout>
          <c:xMode val="edge"/>
          <c:yMode val="edge"/>
          <c:x val="0.247777777777778"/>
          <c:y val="0.911653178769321"/>
          <c:w val="0.493333333333333"/>
          <c:h val="0.0837171916010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38159783041675"/>
          <c:y val="0.129478612470738"/>
          <c:w val="0.821384295713036"/>
          <c:h val="0.717444225721785"/>
        </c:manualLayout>
      </c:layout>
      <c:barChart>
        <c:barDir val="col"/>
        <c:grouping val="clustered"/>
        <c:varyColors val="0"/>
        <c:ser>
          <c:idx val="0"/>
          <c:order val="0"/>
          <c:tx>
            <c:strRef>
              <c:f>工业总产值!$L$2</c:f>
              <c:strCache>
                <c:ptCount val="1"/>
                <c:pt idx="0">
                  <c:v>绝对值（亿度）</c:v>
                </c:pt>
              </c:strCache>
            </c:strRef>
          </c:tx>
          <c:spPr>
            <a:solidFill>
              <a:schemeClr val="accent1"/>
            </a:solidFill>
          </c:spPr>
          <c:invertIfNegative val="0"/>
          <c:dLbls>
            <c:dLbl>
              <c:idx val="0"/>
              <c:layout>
                <c:manualLayout>
                  <c:x val="0"/>
                  <c:y val="0.02684563758389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5615247461156"/>
                  <c:y val="0.03138050696683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9690576652602"/>
                  <c:y val="0.009069386460920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77777777777778"/>
                  <c:y val="-0.004474272930648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6258790436005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工业总产值!$T$1:$X$1</c:f>
              <c:strCache>
                <c:ptCount val="5"/>
                <c:pt idx="0">
                  <c:v>2018年</c:v>
                </c:pt>
                <c:pt idx="1">
                  <c:v>2019年</c:v>
                </c:pt>
                <c:pt idx="2">
                  <c:v>2020年</c:v>
                </c:pt>
                <c:pt idx="3">
                  <c:v>2021年</c:v>
                </c:pt>
                <c:pt idx="4">
                  <c:v>2022年</c:v>
                </c:pt>
              </c:strCache>
            </c:strRef>
          </c:cat>
          <c:val>
            <c:numRef>
              <c:f>工业总产值!$T$2:$X$2</c:f>
              <c:numCache>
                <c:formatCode>0.0_ </c:formatCode>
                <c:ptCount val="5"/>
                <c:pt idx="0">
                  <c:v>54.2</c:v>
                </c:pt>
                <c:pt idx="1">
                  <c:v>56.1</c:v>
                </c:pt>
                <c:pt idx="2">
                  <c:v>55.6</c:v>
                </c:pt>
                <c:pt idx="3">
                  <c:v>69.95</c:v>
                </c:pt>
                <c:pt idx="4">
                  <c:v>75.1</c:v>
                </c:pt>
              </c:numCache>
            </c:numRef>
          </c:val>
        </c:ser>
        <c:dLbls>
          <c:showLegendKey val="0"/>
          <c:showVal val="0"/>
          <c:showCatName val="0"/>
          <c:showSerName val="0"/>
          <c:showPercent val="0"/>
          <c:showBubbleSize val="0"/>
        </c:dLbls>
        <c:gapWidth val="75"/>
        <c:axId val="485010816"/>
        <c:axId val="485024896"/>
      </c:barChart>
      <c:lineChart>
        <c:grouping val="standard"/>
        <c:varyColors val="0"/>
        <c:ser>
          <c:idx val="1"/>
          <c:order val="1"/>
          <c:tx>
            <c:strRef>
              <c:f>工业总产值!$L$3</c:f>
              <c:strCache>
                <c:ptCount val="1"/>
                <c:pt idx="0">
                  <c:v>增幅</c:v>
                </c:pt>
              </c:strCache>
            </c:strRef>
          </c:tx>
          <c:dLbls>
            <c:dLbl>
              <c:idx val="0"/>
              <c:layout>
                <c:manualLayout>
                  <c:x val="-0.0718706047819972"/>
                  <c:y val="-0.063098522080713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62447257383966"/>
                  <c:y val="0.04875794888055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00611256926218"/>
                  <c:y val="0.057706847046803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64980010410091"/>
                  <c:y val="0.0532325741161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工业总产值!$M$1:$Q$1</c:f>
              <c:strCache>
                <c:ptCount val="5"/>
                <c:pt idx="0">
                  <c:v>2011年</c:v>
                </c:pt>
                <c:pt idx="1">
                  <c:v>2012年</c:v>
                </c:pt>
                <c:pt idx="2">
                  <c:v>2013年</c:v>
                </c:pt>
                <c:pt idx="3">
                  <c:v>2014年</c:v>
                </c:pt>
                <c:pt idx="4">
                  <c:v>2015年</c:v>
                </c:pt>
              </c:strCache>
            </c:strRef>
          </c:cat>
          <c:val>
            <c:numRef>
              <c:f>工业总产值!$T$3:$X$3</c:f>
              <c:numCache>
                <c:formatCode>0.0%</c:formatCode>
                <c:ptCount val="5"/>
                <c:pt idx="0">
                  <c:v>0.1</c:v>
                </c:pt>
                <c:pt idx="1">
                  <c:v>0.034</c:v>
                </c:pt>
                <c:pt idx="2">
                  <c:v>-0.009</c:v>
                </c:pt>
                <c:pt idx="3">
                  <c:v>0.259</c:v>
                </c:pt>
                <c:pt idx="4">
                  <c:v>0.074</c:v>
                </c:pt>
              </c:numCache>
            </c:numRef>
          </c:val>
          <c:smooth val="0"/>
        </c:ser>
        <c:dLbls>
          <c:showLegendKey val="0"/>
          <c:showVal val="0"/>
          <c:showCatName val="0"/>
          <c:showSerName val="0"/>
          <c:showPercent val="0"/>
          <c:showBubbleSize val="0"/>
        </c:dLbls>
        <c:marker val="1"/>
        <c:smooth val="0"/>
        <c:axId val="485026432"/>
        <c:axId val="485028224"/>
      </c:lineChart>
      <c:catAx>
        <c:axId val="4850108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5024896"/>
        <c:crosses val="autoZero"/>
        <c:auto val="1"/>
        <c:lblAlgn val="ctr"/>
        <c:lblOffset val="100"/>
        <c:noMultiLvlLbl val="0"/>
      </c:catAx>
      <c:valAx>
        <c:axId val="485024896"/>
        <c:scaling>
          <c:orientation val="minMax"/>
        </c:scaling>
        <c:delete val="0"/>
        <c:axPos val="l"/>
        <c:numFmt formatCode="0_);\(0\)" sourceLinked="0"/>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85010816"/>
        <c:crosses val="autoZero"/>
        <c:crossBetween val="between"/>
        <c:majorUnit val="20"/>
      </c:valAx>
      <c:catAx>
        <c:axId val="485026432"/>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5028224"/>
        <c:crosses val="autoZero"/>
        <c:auto val="1"/>
        <c:lblAlgn val="ctr"/>
        <c:lblOffset val="100"/>
        <c:noMultiLvlLbl val="0"/>
      </c:catAx>
      <c:valAx>
        <c:axId val="485028224"/>
        <c:scaling>
          <c:orientation val="minMax"/>
          <c:max val="0.3"/>
          <c:min val="-0.05"/>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5026432"/>
        <c:crosses val="max"/>
        <c:crossBetween val="between"/>
      </c:valAx>
    </c:plotArea>
    <c:legend>
      <c:legendPos val="b"/>
      <c:layout>
        <c:manualLayout>
          <c:xMode val="edge"/>
          <c:yMode val="edge"/>
          <c:x val="0.233888830562847"/>
          <c:y val="0.91628283041801"/>
          <c:w val="0.499577952755906"/>
          <c:h val="0.080907889869471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固定资产投资增速</a:t>
            </a:r>
            <a:endParaRPr lang="zh-CN" altLang="en-US"/>
          </a:p>
        </c:rich>
      </c:tx>
      <c:layout/>
      <c:overlay val="0"/>
    </c:title>
    <c:autoTitleDeleted val="0"/>
    <c:plotArea>
      <c:layout/>
      <c:lineChart>
        <c:grouping val="standard"/>
        <c:varyColors val="0"/>
        <c:ser>
          <c:idx val="0"/>
          <c:order val="0"/>
          <c:tx>
            <c:strRef>
              <c:f>固定资产投资!$P$2</c:f>
              <c:strCache>
                <c:ptCount val="1"/>
                <c:pt idx="0">
                  <c:v>增幅</c:v>
                </c:pt>
              </c:strCache>
            </c:strRef>
          </c:tx>
          <c:dLbls>
            <c:dLbl>
              <c:idx val="0"/>
              <c:layout>
                <c:manualLayout>
                  <c:x val="-0.0583333333333334"/>
                  <c:y val="0.064814814814814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38888888888889"/>
                  <c:y val="-0.060185185185185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83333333333335"/>
                  <c:y val="-0.083333333333333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94444444444445"/>
                  <c:y val="-0.055555555555555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11111111111111"/>
                  <c:y val="-0.078703703703703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固定资产投资!$I$1:$M$1</c:f>
              <c:strCache>
                <c:ptCount val="5"/>
                <c:pt idx="0">
                  <c:v>2018年</c:v>
                </c:pt>
                <c:pt idx="1">
                  <c:v>2019年</c:v>
                </c:pt>
                <c:pt idx="2">
                  <c:v>2020年</c:v>
                </c:pt>
                <c:pt idx="3">
                  <c:v>2021年</c:v>
                </c:pt>
                <c:pt idx="4">
                  <c:v>2022年</c:v>
                </c:pt>
              </c:strCache>
            </c:strRef>
          </c:cat>
          <c:val>
            <c:numRef>
              <c:f>固定资产投资!$I$3:$M$3</c:f>
              <c:numCache>
                <c:formatCode>0.0%</c:formatCode>
                <c:ptCount val="5"/>
                <c:pt idx="0">
                  <c:v>0.151</c:v>
                </c:pt>
                <c:pt idx="1">
                  <c:v>0.18</c:v>
                </c:pt>
                <c:pt idx="2">
                  <c:v>0.121</c:v>
                </c:pt>
                <c:pt idx="3">
                  <c:v>0.203</c:v>
                </c:pt>
                <c:pt idx="4">
                  <c:v>0.158</c:v>
                </c:pt>
              </c:numCache>
            </c:numRef>
          </c:val>
          <c:smooth val="0"/>
        </c:ser>
        <c:dLbls>
          <c:showLegendKey val="0"/>
          <c:showVal val="0"/>
          <c:showCatName val="0"/>
          <c:showSerName val="0"/>
          <c:showPercent val="0"/>
          <c:showBubbleSize val="0"/>
        </c:dLbls>
        <c:marker val="1"/>
        <c:smooth val="0"/>
        <c:axId val="485124736"/>
        <c:axId val="485147008"/>
      </c:lineChart>
      <c:catAx>
        <c:axId val="48512473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5147008"/>
        <c:crosses val="autoZero"/>
        <c:auto val="1"/>
        <c:lblAlgn val="ctr"/>
        <c:lblOffset val="100"/>
        <c:noMultiLvlLbl val="0"/>
      </c:catAx>
      <c:valAx>
        <c:axId val="485147008"/>
        <c:scaling>
          <c:orientation val="minMax"/>
          <c:min val="0"/>
        </c:scaling>
        <c:delete val="0"/>
        <c:axPos val="l"/>
        <c:numFmt formatCode="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512473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879702537183"/>
          <c:y val="0.105161854768154"/>
          <c:w val="0.80838188976378"/>
          <c:h val="0.714608850976961"/>
        </c:manualLayout>
      </c:layout>
      <c:barChart>
        <c:barDir val="col"/>
        <c:grouping val="clustered"/>
        <c:varyColors val="0"/>
        <c:ser>
          <c:idx val="0"/>
          <c:order val="0"/>
          <c:tx>
            <c:strRef>
              <c:f>社会消费品零售总额!$A$2</c:f>
              <c:strCache>
                <c:ptCount val="1"/>
                <c:pt idx="0">
                  <c:v>绝对值（亿元）</c:v>
                </c:pt>
              </c:strCache>
            </c:strRef>
          </c:tx>
          <c:spPr>
            <a:solidFill>
              <a:schemeClr val="accent1"/>
            </a:solidFill>
          </c:spPr>
          <c:invertIfNegative val="0"/>
          <c:dLbls>
            <c:dLbl>
              <c:idx val="0"/>
              <c:layout>
                <c:manualLayout>
                  <c:x val="-0.0111111111111111"/>
                  <c:y val="-0.06481517935258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社会消费品零售总额!$I$1:$M$1</c:f>
              <c:strCache>
                <c:ptCount val="5"/>
                <c:pt idx="0">
                  <c:v>2018年</c:v>
                </c:pt>
                <c:pt idx="1">
                  <c:v>2019年</c:v>
                </c:pt>
                <c:pt idx="2">
                  <c:v>2020年</c:v>
                </c:pt>
                <c:pt idx="3">
                  <c:v>2021年</c:v>
                </c:pt>
                <c:pt idx="4">
                  <c:v>2022年</c:v>
                </c:pt>
              </c:strCache>
            </c:strRef>
          </c:cat>
          <c:val>
            <c:numRef>
              <c:f>社会消费品零售总额!$I$2:$M$2</c:f>
              <c:numCache>
                <c:formatCode>0.0_ </c:formatCode>
                <c:ptCount val="5"/>
                <c:pt idx="0">
                  <c:v>861.9</c:v>
                </c:pt>
                <c:pt idx="1">
                  <c:v>973.1</c:v>
                </c:pt>
                <c:pt idx="2">
                  <c:v>946.3</c:v>
                </c:pt>
                <c:pt idx="3">
                  <c:v>1033.7</c:v>
                </c:pt>
                <c:pt idx="4">
                  <c:v>1057.8</c:v>
                </c:pt>
              </c:numCache>
            </c:numRef>
          </c:val>
        </c:ser>
        <c:dLbls>
          <c:showLegendKey val="0"/>
          <c:showVal val="0"/>
          <c:showCatName val="0"/>
          <c:showSerName val="0"/>
          <c:showPercent val="0"/>
          <c:showBubbleSize val="0"/>
        </c:dLbls>
        <c:gapWidth val="75"/>
        <c:axId val="485243520"/>
        <c:axId val="485257600"/>
      </c:barChart>
      <c:lineChart>
        <c:grouping val="standard"/>
        <c:varyColors val="0"/>
        <c:ser>
          <c:idx val="1"/>
          <c:order val="1"/>
          <c:tx>
            <c:strRef>
              <c:f>社会消费品零售总额!$A$3</c:f>
              <c:strCache>
                <c:ptCount val="1"/>
                <c:pt idx="0">
                  <c:v>增幅</c:v>
                </c:pt>
              </c:strCache>
            </c:strRef>
          </c:tx>
          <c:dLbls>
            <c:dLbl>
              <c:idx val="0"/>
              <c:layout>
                <c:manualLayout>
                  <c:x val="-0.0641251093613298"/>
                  <c:y val="0.031932779235928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85695538057743"/>
                  <c:y val="0.059710557013706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41251093613298"/>
                  <c:y val="0.031932779235928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74584426946632"/>
                  <c:y val="-0.056030183727034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18891076115486"/>
                  <c:y val="-0.06991907261592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社会消费品零售总额!$B$1:$F$1</c:f>
              <c:strCache>
                <c:ptCount val="5"/>
                <c:pt idx="0">
                  <c:v>2011年</c:v>
                </c:pt>
                <c:pt idx="1">
                  <c:v>2012年</c:v>
                </c:pt>
                <c:pt idx="2">
                  <c:v>2013年</c:v>
                </c:pt>
                <c:pt idx="3">
                  <c:v>2014年</c:v>
                </c:pt>
                <c:pt idx="4">
                  <c:v>2015年</c:v>
                </c:pt>
              </c:strCache>
            </c:strRef>
          </c:cat>
          <c:val>
            <c:numRef>
              <c:f>社会消费品零售总额!$I$3:$M$3</c:f>
              <c:numCache>
                <c:formatCode>0.0%</c:formatCode>
                <c:ptCount val="5"/>
                <c:pt idx="0">
                  <c:v>0.106</c:v>
                </c:pt>
                <c:pt idx="1">
                  <c:v>0.129</c:v>
                </c:pt>
                <c:pt idx="2">
                  <c:v>-0.028</c:v>
                </c:pt>
                <c:pt idx="3">
                  <c:v>0.092</c:v>
                </c:pt>
                <c:pt idx="4">
                  <c:v>0.023</c:v>
                </c:pt>
              </c:numCache>
            </c:numRef>
          </c:val>
          <c:smooth val="0"/>
        </c:ser>
        <c:dLbls>
          <c:showLegendKey val="0"/>
          <c:showVal val="0"/>
          <c:showCatName val="0"/>
          <c:showSerName val="0"/>
          <c:showPercent val="0"/>
          <c:showBubbleSize val="0"/>
        </c:dLbls>
        <c:marker val="1"/>
        <c:smooth val="0"/>
        <c:axId val="485259136"/>
        <c:axId val="485260672"/>
      </c:lineChart>
      <c:catAx>
        <c:axId val="48524352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5257600"/>
        <c:crosses val="autoZero"/>
        <c:auto val="1"/>
        <c:lblAlgn val="ctr"/>
        <c:lblOffset val="100"/>
        <c:noMultiLvlLbl val="0"/>
      </c:catAx>
      <c:valAx>
        <c:axId val="485257600"/>
        <c:scaling>
          <c:orientation val="minMax"/>
        </c:scaling>
        <c:delete val="0"/>
        <c:axPos val="l"/>
        <c:numFmt formatCode="0_);\(0\)" sourceLinked="0"/>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85243520"/>
        <c:crosses val="autoZero"/>
        <c:crossBetween val="between"/>
      </c:valAx>
      <c:catAx>
        <c:axId val="485259136"/>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5260672"/>
        <c:crosses val="autoZero"/>
        <c:auto val="1"/>
        <c:lblAlgn val="ctr"/>
        <c:lblOffset val="100"/>
        <c:noMultiLvlLbl val="0"/>
      </c:catAx>
      <c:valAx>
        <c:axId val="485260672"/>
        <c:scaling>
          <c:orientation val="minMax"/>
          <c:max val="0.2"/>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5259136"/>
        <c:crosses val="max"/>
        <c:crossBetween val="between"/>
        <c:majorUnit val="0.05"/>
      </c:valAx>
    </c:plotArea>
    <c:legend>
      <c:legendPos val="b"/>
      <c:layout>
        <c:manualLayout>
          <c:xMode val="edge"/>
          <c:yMode val="edge"/>
          <c:x val="0.261666666666667"/>
          <c:y val="0.902393919510061"/>
          <c:w val="0.493333333333333"/>
          <c:h val="0.0837171916010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129702537183"/>
          <c:y val="0.105161854768154"/>
          <c:w val="0.799409667541558"/>
          <c:h val="0.714608850976961"/>
        </c:manualLayout>
      </c:layout>
      <c:barChart>
        <c:barDir val="col"/>
        <c:grouping val="clustered"/>
        <c:varyColors val="0"/>
        <c:ser>
          <c:idx val="0"/>
          <c:order val="0"/>
          <c:tx>
            <c:strRef>
              <c:f>市场成交额!$A$2</c:f>
              <c:strCache>
                <c:ptCount val="1"/>
                <c:pt idx="0">
                  <c:v>绝对值（亿元）</c:v>
                </c:pt>
              </c:strCache>
            </c:strRef>
          </c:tx>
          <c:spPr>
            <a:solidFill>
              <a:schemeClr val="accent1"/>
            </a:solidFill>
          </c:spPr>
          <c:invertIfNegative val="0"/>
          <c:dLbls>
            <c:dLbl>
              <c:idx val="0"/>
              <c:layout>
                <c:manualLayout>
                  <c:x val="0"/>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市场成交额!$I$1:$M$1</c:f>
              <c:strCache>
                <c:ptCount val="5"/>
                <c:pt idx="0">
                  <c:v>2018年</c:v>
                </c:pt>
                <c:pt idx="1">
                  <c:v>2019年</c:v>
                </c:pt>
                <c:pt idx="2">
                  <c:v>2020年</c:v>
                </c:pt>
                <c:pt idx="3">
                  <c:v>2021年</c:v>
                </c:pt>
                <c:pt idx="4">
                  <c:v>2022年</c:v>
                </c:pt>
              </c:strCache>
            </c:strRef>
          </c:cat>
          <c:val>
            <c:numRef>
              <c:f>市场成交额!$I$2:$M$2</c:f>
              <c:numCache>
                <c:formatCode>General</c:formatCode>
                <c:ptCount val="5"/>
                <c:pt idx="0">
                  <c:v>1593.1</c:v>
                </c:pt>
                <c:pt idx="1">
                  <c:v>1779.5</c:v>
                </c:pt>
                <c:pt idx="2">
                  <c:v>1884.8</c:v>
                </c:pt>
                <c:pt idx="3">
                  <c:v>2172.1</c:v>
                </c:pt>
                <c:pt idx="4">
                  <c:v>2322.8</c:v>
                </c:pt>
              </c:numCache>
            </c:numRef>
          </c:val>
        </c:ser>
        <c:dLbls>
          <c:showLegendKey val="0"/>
          <c:showVal val="0"/>
          <c:showCatName val="0"/>
          <c:showSerName val="0"/>
          <c:showPercent val="0"/>
          <c:showBubbleSize val="0"/>
        </c:dLbls>
        <c:gapWidth val="75"/>
        <c:axId val="485296384"/>
        <c:axId val="485310464"/>
      </c:barChart>
      <c:lineChart>
        <c:grouping val="standard"/>
        <c:varyColors val="0"/>
        <c:ser>
          <c:idx val="1"/>
          <c:order val="1"/>
          <c:tx>
            <c:strRef>
              <c:f>市场成交额!$A$3</c:f>
              <c:strCache>
                <c:ptCount val="1"/>
                <c:pt idx="0">
                  <c:v>增幅</c:v>
                </c:pt>
              </c:strCache>
            </c:strRef>
          </c:tx>
          <c:dLbls>
            <c:dLbl>
              <c:idx val="3"/>
              <c:layout>
                <c:manualLayout>
                  <c:x val="-0.0613473315835521"/>
                  <c:y val="-0.051400554097404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46806649168855"/>
                  <c:y val="-0.060659813356663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市场成交额!$B$1:$F$1</c:f>
              <c:strCache>
                <c:ptCount val="5"/>
                <c:pt idx="0">
                  <c:v>2011年</c:v>
                </c:pt>
                <c:pt idx="1">
                  <c:v>2012年</c:v>
                </c:pt>
                <c:pt idx="2">
                  <c:v>2013年</c:v>
                </c:pt>
                <c:pt idx="3">
                  <c:v>2014年</c:v>
                </c:pt>
                <c:pt idx="4">
                  <c:v>2015年</c:v>
                </c:pt>
              </c:strCache>
            </c:strRef>
          </c:cat>
          <c:val>
            <c:numRef>
              <c:f>市场成交额!$I$3:$M$3</c:f>
              <c:numCache>
                <c:formatCode>0.0%</c:formatCode>
                <c:ptCount val="5"/>
                <c:pt idx="0">
                  <c:v>0.067</c:v>
                </c:pt>
                <c:pt idx="1">
                  <c:v>0.117</c:v>
                </c:pt>
                <c:pt idx="2">
                  <c:v>0.0590000000000001</c:v>
                </c:pt>
                <c:pt idx="3">
                  <c:v>0.152</c:v>
                </c:pt>
                <c:pt idx="4">
                  <c:v>0.069</c:v>
                </c:pt>
              </c:numCache>
            </c:numRef>
          </c:val>
          <c:smooth val="0"/>
        </c:ser>
        <c:dLbls>
          <c:showLegendKey val="0"/>
          <c:showVal val="0"/>
          <c:showCatName val="0"/>
          <c:showSerName val="0"/>
          <c:showPercent val="0"/>
          <c:showBubbleSize val="0"/>
        </c:dLbls>
        <c:marker val="1"/>
        <c:smooth val="0"/>
        <c:axId val="485312000"/>
        <c:axId val="485313536"/>
      </c:lineChart>
      <c:catAx>
        <c:axId val="48529638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5310464"/>
        <c:crosses val="autoZero"/>
        <c:auto val="1"/>
        <c:lblAlgn val="ctr"/>
        <c:lblOffset val="100"/>
        <c:noMultiLvlLbl val="0"/>
      </c:catAx>
      <c:valAx>
        <c:axId val="485310464"/>
        <c:scaling>
          <c:orientation val="minMax"/>
          <c:min val="0"/>
        </c:scaling>
        <c:delete val="0"/>
        <c:axPos val="l"/>
        <c:numFmt formatCode="General" sourceLinked="1"/>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85296384"/>
        <c:crosses val="autoZero"/>
        <c:crossBetween val="between"/>
        <c:majorUnit val="500"/>
      </c:valAx>
      <c:catAx>
        <c:axId val="485312000"/>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5313536"/>
        <c:crosses val="autoZero"/>
        <c:auto val="1"/>
        <c:lblAlgn val="ctr"/>
        <c:lblOffset val="100"/>
        <c:noMultiLvlLbl val="0"/>
      </c:catAx>
      <c:valAx>
        <c:axId val="485313536"/>
        <c:scaling>
          <c:orientation val="minMax"/>
          <c:max val="0.2"/>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5312000"/>
        <c:crosses val="max"/>
        <c:crossBetween val="between"/>
        <c:majorUnit val="0.05"/>
      </c:valAx>
    </c:plotArea>
    <c:legend>
      <c:legendPos val="b"/>
      <c:layout>
        <c:manualLayout>
          <c:xMode val="edge"/>
          <c:yMode val="edge"/>
          <c:x val="0.25888888888889"/>
          <c:y val="0.907023549139691"/>
          <c:w val="0.46"/>
          <c:h val="0.0837171916010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543963254593"/>
          <c:y val="0.11621536891222"/>
          <c:w val="0.801717629046369"/>
          <c:h val="0.717444225721785"/>
        </c:manualLayout>
      </c:layout>
      <c:barChart>
        <c:barDir val="col"/>
        <c:grouping val="clustered"/>
        <c:varyColors val="0"/>
        <c:ser>
          <c:idx val="0"/>
          <c:order val="0"/>
          <c:tx>
            <c:strRef>
              <c:f>市场成交额!$P$2</c:f>
              <c:strCache>
                <c:ptCount val="1"/>
                <c:pt idx="0">
                  <c:v>绝对值（亿元）</c:v>
                </c:pt>
              </c:strCache>
            </c:strRef>
          </c:tx>
          <c:spPr>
            <a:solidFill>
              <a:schemeClr val="accent1"/>
            </a:solidFill>
          </c:spPr>
          <c:invertIfNegative val="0"/>
          <c:dLbls>
            <c:dLbl>
              <c:idx val="0"/>
              <c:layout>
                <c:manualLayout>
                  <c:x val="-0.00833333333333334"/>
                  <c:y val="0.013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33333333333334"/>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1111111111111"/>
                  <c:y val="0.009259259259259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55555555555556"/>
                  <c:y val="0.009259259259259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市场成交额!$X$1:$AB$1</c:f>
              <c:strCache>
                <c:ptCount val="5"/>
                <c:pt idx="0">
                  <c:v>2018年</c:v>
                </c:pt>
                <c:pt idx="1">
                  <c:v>2019年</c:v>
                </c:pt>
                <c:pt idx="2">
                  <c:v>2020年</c:v>
                </c:pt>
                <c:pt idx="3">
                  <c:v>2021年</c:v>
                </c:pt>
                <c:pt idx="4">
                  <c:v>2022年</c:v>
                </c:pt>
              </c:strCache>
            </c:strRef>
          </c:cat>
          <c:val>
            <c:numRef>
              <c:f>市场成交额!$X$2:$AB$2</c:f>
              <c:numCache>
                <c:formatCode>General</c:formatCode>
                <c:ptCount val="5"/>
                <c:pt idx="0">
                  <c:v>1358.4</c:v>
                </c:pt>
                <c:pt idx="1">
                  <c:v>1537.4</c:v>
                </c:pt>
                <c:pt idx="2">
                  <c:v>1626.6</c:v>
                </c:pt>
                <c:pt idx="3">
                  <c:v>1866.8</c:v>
                </c:pt>
                <c:pt idx="4">
                  <c:v>2020.9</c:v>
                </c:pt>
              </c:numCache>
            </c:numRef>
          </c:val>
        </c:ser>
        <c:dLbls>
          <c:showLegendKey val="0"/>
          <c:showVal val="0"/>
          <c:showCatName val="0"/>
          <c:showSerName val="0"/>
          <c:showPercent val="0"/>
          <c:showBubbleSize val="0"/>
        </c:dLbls>
        <c:gapWidth val="75"/>
        <c:axId val="485357440"/>
        <c:axId val="485358976"/>
      </c:barChart>
      <c:lineChart>
        <c:grouping val="standard"/>
        <c:varyColors val="0"/>
        <c:ser>
          <c:idx val="1"/>
          <c:order val="1"/>
          <c:tx>
            <c:strRef>
              <c:f>市场成交额!$P$3</c:f>
              <c:strCache>
                <c:ptCount val="1"/>
                <c:pt idx="0">
                  <c:v>增幅</c:v>
                </c:pt>
              </c:strCache>
            </c:strRef>
          </c:tx>
          <c:dLbls>
            <c:dLbl>
              <c:idx val="0"/>
              <c:layout>
                <c:manualLayout>
                  <c:x val="-0.0585695538057743"/>
                  <c:y val="0.04119203849518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85695538057743"/>
                  <c:y val="0.05045129775444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85695538057743"/>
                  <c:y val="0.05045129775444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13473315835521"/>
                  <c:y val="0.07359944590259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市场成交额!$Q$1:$U$1</c:f>
              <c:strCache>
                <c:ptCount val="5"/>
                <c:pt idx="0">
                  <c:v>2011年</c:v>
                </c:pt>
                <c:pt idx="1">
                  <c:v>2012年</c:v>
                </c:pt>
                <c:pt idx="2">
                  <c:v>2013年</c:v>
                </c:pt>
                <c:pt idx="3">
                  <c:v>2014年</c:v>
                </c:pt>
                <c:pt idx="4">
                  <c:v>2015年</c:v>
                </c:pt>
              </c:strCache>
            </c:strRef>
          </c:cat>
          <c:val>
            <c:numRef>
              <c:f>市场成交额!$X$3:$AB$3</c:f>
              <c:numCache>
                <c:formatCode>0.0%</c:formatCode>
                <c:ptCount val="5"/>
                <c:pt idx="0">
                  <c:v>0.108</c:v>
                </c:pt>
                <c:pt idx="1">
                  <c:v>0.132</c:v>
                </c:pt>
                <c:pt idx="2">
                  <c:v>0.058</c:v>
                </c:pt>
                <c:pt idx="3">
                  <c:v>0.148</c:v>
                </c:pt>
                <c:pt idx="4">
                  <c:v>0.083</c:v>
                </c:pt>
              </c:numCache>
            </c:numRef>
          </c:val>
          <c:smooth val="0"/>
        </c:ser>
        <c:dLbls>
          <c:showLegendKey val="0"/>
          <c:showVal val="0"/>
          <c:showCatName val="0"/>
          <c:showSerName val="0"/>
          <c:showPercent val="0"/>
          <c:showBubbleSize val="0"/>
        </c:dLbls>
        <c:marker val="1"/>
        <c:smooth val="0"/>
        <c:axId val="486954112"/>
        <c:axId val="486955648"/>
      </c:lineChart>
      <c:catAx>
        <c:axId val="48535744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5358976"/>
        <c:crosses val="autoZero"/>
        <c:auto val="1"/>
        <c:lblAlgn val="ctr"/>
        <c:lblOffset val="100"/>
        <c:noMultiLvlLbl val="0"/>
      </c:catAx>
      <c:valAx>
        <c:axId val="485358976"/>
        <c:scaling>
          <c:orientation val="minMax"/>
          <c:max val="2400"/>
          <c:min val="0"/>
        </c:scaling>
        <c:delete val="0"/>
        <c:axPos val="l"/>
        <c:numFmt formatCode="0_);\(0\)" sourceLinked="0"/>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85357440"/>
        <c:crosses val="autoZero"/>
        <c:crossBetween val="between"/>
        <c:majorUnit val="400"/>
      </c:valAx>
      <c:catAx>
        <c:axId val="486954112"/>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6955648"/>
        <c:crosses val="autoZero"/>
        <c:auto val="1"/>
        <c:lblAlgn val="ctr"/>
        <c:lblOffset val="100"/>
        <c:noMultiLvlLbl val="0"/>
      </c:catAx>
      <c:valAx>
        <c:axId val="486955648"/>
        <c:scaling>
          <c:orientation val="minMax"/>
          <c:max val="0.2"/>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6954112"/>
        <c:crosses val="max"/>
        <c:crossBetween val="between"/>
        <c:majorUnit val="0.05"/>
      </c:valAx>
    </c:plotArea>
    <c:legend>
      <c:legendPos val="b"/>
      <c:layout>
        <c:manualLayout>
          <c:xMode val="edge"/>
          <c:yMode val="edge"/>
          <c:x val="0.281111111111111"/>
          <c:y val="0.916282808398949"/>
          <c:w val="0.493333333333333"/>
          <c:h val="0.0837171916010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101924759405"/>
          <c:y val="0.105161854768154"/>
          <c:w val="0.793909667541558"/>
          <c:h val="0.714608850976961"/>
        </c:manualLayout>
      </c:layout>
      <c:barChart>
        <c:barDir val="col"/>
        <c:grouping val="clustered"/>
        <c:varyColors val="0"/>
        <c:ser>
          <c:idx val="0"/>
          <c:order val="0"/>
          <c:tx>
            <c:strRef>
              <c:f>进出口!$J$2</c:f>
              <c:strCache>
                <c:ptCount val="1"/>
                <c:pt idx="0">
                  <c:v>绝对值（亿元）</c:v>
                </c:pt>
              </c:strCache>
            </c:strRef>
          </c:tx>
          <c:spPr>
            <a:solidFill>
              <a:schemeClr val="accent1"/>
            </a:solidFill>
          </c:spPr>
          <c:invertIfNegative val="0"/>
          <c:dLbls>
            <c:dLbl>
              <c:idx val="0"/>
              <c:layout>
                <c:manualLayout>
                  <c:x val="-0.00555555555555556"/>
                  <c:y val="0.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77777777777779"/>
                  <c:y val="-0.009259259259259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3333333333333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进出口!$R$1:$V$1</c:f>
              <c:strCache>
                <c:ptCount val="5"/>
                <c:pt idx="0">
                  <c:v>2018年</c:v>
                </c:pt>
                <c:pt idx="1">
                  <c:v>2019年</c:v>
                </c:pt>
                <c:pt idx="2">
                  <c:v>2020年</c:v>
                </c:pt>
                <c:pt idx="3">
                  <c:v>2021年</c:v>
                </c:pt>
                <c:pt idx="4">
                  <c:v>2022年</c:v>
                </c:pt>
              </c:strCache>
            </c:strRef>
          </c:cat>
          <c:val>
            <c:numRef>
              <c:f>进出口!$R$2:$V$2</c:f>
              <c:numCache>
                <c:formatCode>0.0_ </c:formatCode>
                <c:ptCount val="5"/>
                <c:pt idx="0">
                  <c:v>2521.6</c:v>
                </c:pt>
                <c:pt idx="1">
                  <c:v>2867.9</c:v>
                </c:pt>
                <c:pt idx="2">
                  <c:v>3006.2</c:v>
                </c:pt>
                <c:pt idx="3">
                  <c:v>3659.12</c:v>
                </c:pt>
                <c:pt idx="4">
                  <c:v>4316.4</c:v>
                </c:pt>
              </c:numCache>
            </c:numRef>
          </c:val>
        </c:ser>
        <c:dLbls>
          <c:showLegendKey val="0"/>
          <c:showVal val="0"/>
          <c:showCatName val="0"/>
          <c:showSerName val="0"/>
          <c:showPercent val="0"/>
          <c:showBubbleSize val="0"/>
        </c:dLbls>
        <c:gapWidth val="75"/>
        <c:axId val="486995456"/>
        <c:axId val="486996992"/>
      </c:barChart>
      <c:lineChart>
        <c:grouping val="standard"/>
        <c:varyColors val="0"/>
        <c:ser>
          <c:idx val="1"/>
          <c:order val="1"/>
          <c:tx>
            <c:strRef>
              <c:f>进出口!$J$3</c:f>
              <c:strCache>
                <c:ptCount val="1"/>
                <c:pt idx="0">
                  <c:v>增幅</c:v>
                </c:pt>
              </c:strCache>
            </c:strRef>
          </c:tx>
          <c:dLbls>
            <c:dLbl>
              <c:idx val="0"/>
              <c:layout>
                <c:manualLayout>
                  <c:x val="-0.0527777777777778"/>
                  <c:y val="-0.060185185185185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81954838289842"/>
                  <c:y val="-0.060185549722951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83333333333335"/>
                  <c:y val="-0.069444444444444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73139411292598"/>
                  <c:y val="0.074074074074074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
                  <c:y val="-0.083333333333333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进出口!$K$1:$O$1</c:f>
              <c:strCache>
                <c:ptCount val="5"/>
                <c:pt idx="0">
                  <c:v>2011年</c:v>
                </c:pt>
                <c:pt idx="1">
                  <c:v>2012年</c:v>
                </c:pt>
                <c:pt idx="2">
                  <c:v>2013年</c:v>
                </c:pt>
                <c:pt idx="3">
                  <c:v>2014年</c:v>
                </c:pt>
                <c:pt idx="4">
                  <c:v>2015年</c:v>
                </c:pt>
              </c:strCache>
            </c:strRef>
          </c:cat>
          <c:val>
            <c:numRef>
              <c:f>进出口!$R$3:$V$3</c:f>
              <c:numCache>
                <c:formatCode>0.0%</c:formatCode>
                <c:ptCount val="5"/>
                <c:pt idx="0">
                  <c:v>0.094</c:v>
                </c:pt>
                <c:pt idx="1">
                  <c:v>0.137</c:v>
                </c:pt>
                <c:pt idx="2">
                  <c:v>0.048</c:v>
                </c:pt>
                <c:pt idx="3">
                  <c:v>0.217</c:v>
                </c:pt>
                <c:pt idx="4">
                  <c:v>0.18</c:v>
                </c:pt>
              </c:numCache>
            </c:numRef>
          </c:val>
          <c:smooth val="0"/>
        </c:ser>
        <c:dLbls>
          <c:showLegendKey val="0"/>
          <c:showVal val="0"/>
          <c:showCatName val="0"/>
          <c:showSerName val="0"/>
          <c:showPercent val="0"/>
          <c:showBubbleSize val="0"/>
        </c:dLbls>
        <c:marker val="1"/>
        <c:smooth val="0"/>
        <c:axId val="485049088"/>
        <c:axId val="485050624"/>
      </c:lineChart>
      <c:catAx>
        <c:axId val="48699545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6996992"/>
        <c:crosses val="autoZero"/>
        <c:auto val="1"/>
        <c:lblAlgn val="ctr"/>
        <c:lblOffset val="100"/>
        <c:noMultiLvlLbl val="0"/>
      </c:catAx>
      <c:valAx>
        <c:axId val="486996992"/>
        <c:scaling>
          <c:orientation val="minMax"/>
          <c:max val="4500"/>
        </c:scaling>
        <c:delete val="0"/>
        <c:axPos val="l"/>
        <c:numFmt formatCode="0_);\(0\)" sourceLinked="0"/>
        <c:majorTickMark val="in"/>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486995456"/>
        <c:crosses val="autoZero"/>
        <c:crossBetween val="between"/>
      </c:valAx>
      <c:catAx>
        <c:axId val="485049088"/>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85050624"/>
        <c:crosses val="autoZero"/>
        <c:auto val="1"/>
        <c:lblAlgn val="ctr"/>
        <c:lblOffset val="100"/>
        <c:noMultiLvlLbl val="0"/>
      </c:catAx>
      <c:valAx>
        <c:axId val="485050624"/>
        <c:scaling>
          <c:orientation val="minMax"/>
        </c:scaling>
        <c:delete val="0"/>
        <c:axPos val="r"/>
        <c:numFmt formatCode="0%" sourceLinked="0"/>
        <c:majorTickMark val="in"/>
        <c:minorTickMark val="none"/>
        <c:tickLblPos val="nextTo"/>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485049088"/>
        <c:crosses val="max"/>
        <c:crossBetween val="between"/>
        <c:majorUnit val="0.1"/>
      </c:valAx>
    </c:plotArea>
    <c:legend>
      <c:legendPos val="b"/>
      <c:layout>
        <c:manualLayout>
          <c:xMode val="edge"/>
          <c:yMode val="edge"/>
          <c:x val="0.25055551940305"/>
          <c:y val="0.907023549139691"/>
          <c:w val="0.526666666666667"/>
          <c:h val="0.083717191601049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0.42917</cdr:x>
      <cdr:y>0.01003</cdr:y>
    </cdr:from>
    <cdr:to>
      <cdr:x>0.61042</cdr:x>
      <cdr:y>0.11037</cdr:y>
    </cdr:to>
    <cdr:sp>
      <cdr:nvSpPr>
        <cdr:cNvPr id="2" name="矩形 1"/>
        <cdr:cNvSpPr/>
      </cdr:nvSpPr>
      <cdr:spPr xmlns:a="http://schemas.openxmlformats.org/drawingml/2006/main">
        <a:xfrm xmlns:a="http://schemas.openxmlformats.org/drawingml/2006/main">
          <a:off x="1962150" y="28575"/>
          <a:ext cx="828675" cy="28575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altLang="zh-CN" sz="1600" b="1">
              <a:latin typeface="仿宋_GB2312" panose="02010609030101010101" pitchFamily="3" charset="-122"/>
              <a:ea typeface="仿宋_GB2312" panose="02010609030101010101" pitchFamily="3" charset="-122"/>
            </a:rPr>
            <a:t>GDP</a:t>
          </a:r>
          <a:endParaRPr lang="zh-CN" altLang="en-US" sz="1600" b="1">
            <a:latin typeface="仿宋_GB2312" panose="02010609030101010101" pitchFamily="3" charset="-122"/>
            <a:ea typeface="仿宋_GB2312" panose="02010609030101010101" pitchFamily="3" charset="-122"/>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0.38959</cdr:x>
      <cdr:y>0.02777</cdr:y>
    </cdr:from>
    <cdr:to>
      <cdr:x>0.70209</cdr:x>
      <cdr:y>0.11805</cdr:y>
    </cdr:to>
    <cdr:sp>
      <cdr:nvSpPr>
        <cdr:cNvPr id="2" name="矩形 1"/>
        <cdr:cNvSpPr/>
      </cdr:nvSpPr>
      <cdr:spPr xmlns:a="http://schemas.openxmlformats.org/drawingml/2006/main">
        <a:xfrm xmlns:a="http://schemas.openxmlformats.org/drawingml/2006/main">
          <a:off x="1781190" y="76191"/>
          <a:ext cx="1428750" cy="247656"/>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100" b="1"/>
            <a:t>汽车拥有量</a:t>
          </a:r>
          <a:endParaRPr lang="zh-CN" altLang="en-US" sz="1100" b="1"/>
        </a:p>
      </cdr:txBody>
    </cdr:sp>
  </cdr:relSizeAnchor>
</c:userShapes>
</file>

<file path=word/drawings/drawing11.xml><?xml version="1.0" encoding="utf-8"?>
<c:userShapes xmlns:c="http://schemas.openxmlformats.org/drawingml/2006/chart">
  <cdr:relSizeAnchor xmlns:cdr="http://schemas.openxmlformats.org/drawingml/2006/chartDrawing">
    <cdr:from>
      <cdr:x>0.37917</cdr:x>
      <cdr:y>0.03472</cdr:y>
    </cdr:from>
    <cdr:to>
      <cdr:x>0.61667</cdr:x>
      <cdr:y>0.125</cdr:y>
    </cdr:to>
    <cdr:sp>
      <cdr:nvSpPr>
        <cdr:cNvPr id="2" name="矩形 1"/>
        <cdr:cNvSpPr/>
      </cdr:nvSpPr>
      <cdr:spPr xmlns:a="http://schemas.openxmlformats.org/drawingml/2006/main">
        <a:xfrm xmlns:a="http://schemas.openxmlformats.org/drawingml/2006/main">
          <a:off x="1733550" y="95250"/>
          <a:ext cx="1085850" cy="24765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200" b="1"/>
            <a:t>财政总收入</a:t>
          </a:r>
          <a:endParaRPr lang="zh-CN" altLang="en-US" sz="1200" b="1"/>
        </a:p>
      </cdr:txBody>
    </cdr:sp>
  </cdr:relSizeAnchor>
</c:userShapes>
</file>

<file path=word/drawings/drawing12.xml><?xml version="1.0" encoding="utf-8"?>
<c:userShapes xmlns:c="http://schemas.openxmlformats.org/drawingml/2006/chart">
  <cdr:relSizeAnchor xmlns:cdr="http://schemas.openxmlformats.org/drawingml/2006/chartDrawing">
    <cdr:from>
      <cdr:x>0.34565</cdr:x>
      <cdr:y>0.01417</cdr:y>
    </cdr:from>
    <cdr:to>
      <cdr:x>0.7397</cdr:x>
      <cdr:y>0.11644</cdr:y>
    </cdr:to>
    <cdr:sp>
      <cdr:nvSpPr>
        <cdr:cNvPr id="2" name="矩形 1"/>
        <cdr:cNvSpPr/>
      </cdr:nvSpPr>
      <cdr:spPr xmlns:a="http://schemas.openxmlformats.org/drawingml/2006/main">
        <a:xfrm xmlns:a="http://schemas.openxmlformats.org/drawingml/2006/main">
          <a:off x="1758077" y="39417"/>
          <a:ext cx="2004298" cy="284433"/>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200" b="1"/>
            <a:t>一般公共预算收入</a:t>
          </a:r>
          <a:endParaRPr lang="en-US" altLang="zh-CN" sz="1200" b="1"/>
        </a:p>
      </cdr:txBody>
    </cdr:sp>
  </cdr:relSizeAnchor>
</c:userShapes>
</file>

<file path=word/drawings/drawing13.xml><?xml version="1.0" encoding="utf-8"?>
<c:userShapes xmlns:c="http://schemas.openxmlformats.org/drawingml/2006/chart">
  <cdr:relSizeAnchor xmlns:cdr="http://schemas.openxmlformats.org/drawingml/2006/chartDrawing">
    <cdr:from>
      <cdr:x>0.3</cdr:x>
      <cdr:y>0.03125</cdr:y>
    </cdr:from>
    <cdr:to>
      <cdr:x>0.68542</cdr:x>
      <cdr:y>0.15278</cdr:y>
    </cdr:to>
    <cdr:sp>
      <cdr:nvSpPr>
        <cdr:cNvPr id="2" name="矩形 1"/>
        <cdr:cNvSpPr/>
      </cdr:nvSpPr>
      <cdr:spPr xmlns:a="http://schemas.openxmlformats.org/drawingml/2006/main">
        <a:xfrm xmlns:a="http://schemas.openxmlformats.org/drawingml/2006/main">
          <a:off x="1371600" y="85725"/>
          <a:ext cx="1762125" cy="33337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200" b="1"/>
            <a:t>年末金融机构存款余额</a:t>
          </a:r>
          <a:endParaRPr lang="zh-CN" altLang="en-US" sz="1200" b="1"/>
        </a:p>
      </cdr:txBody>
    </cdr:sp>
  </cdr:relSizeAnchor>
</c:userShapes>
</file>

<file path=word/drawings/drawing14.xml><?xml version="1.0" encoding="utf-8"?>
<c:userShapes xmlns:c="http://schemas.openxmlformats.org/drawingml/2006/chart">
  <cdr:relSizeAnchor xmlns:cdr="http://schemas.openxmlformats.org/drawingml/2006/chartDrawing">
    <cdr:from>
      <cdr:x>0.31875</cdr:x>
      <cdr:y>0.02431</cdr:y>
    </cdr:from>
    <cdr:to>
      <cdr:x>0.70833</cdr:x>
      <cdr:y>0.11806</cdr:y>
    </cdr:to>
    <cdr:sp>
      <cdr:nvSpPr>
        <cdr:cNvPr id="2" name="矩形 1"/>
        <cdr:cNvSpPr/>
      </cdr:nvSpPr>
      <cdr:spPr xmlns:a="http://schemas.openxmlformats.org/drawingml/2006/main">
        <a:xfrm xmlns:a="http://schemas.openxmlformats.org/drawingml/2006/main">
          <a:off x="1457325" y="66675"/>
          <a:ext cx="1781175" cy="25717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pPr marL="0" marR="0" indent="0" defTabSz="914400" eaLnBrk="1" fontAlgn="auto" latinLnBrk="0" hangingPunct="1">
            <a:lnSpc>
              <a:spcPct val="100000"/>
            </a:lnSpc>
            <a:spcBef>
              <a:spcPts val="0"/>
            </a:spcBef>
            <a:spcAft>
              <a:spcPts val="0"/>
            </a:spcAft>
            <a:buClrTx/>
            <a:buSzTx/>
            <a:buFontTx/>
            <a:buNone/>
            <a:defRPr/>
          </a:pPr>
          <a:r>
            <a:rPr lang="zh-CN" altLang="zh-CN" sz="1100" b="1">
              <a:latin typeface="+mn-lt"/>
              <a:ea typeface="+mn-ea"/>
              <a:cs typeface="+mn-cs"/>
            </a:rPr>
            <a:t>年末金融机构</a:t>
          </a:r>
          <a:r>
            <a:rPr lang="zh-CN" altLang="en-US" sz="1100" b="1">
              <a:latin typeface="+mn-lt"/>
              <a:ea typeface="+mn-ea"/>
              <a:cs typeface="+mn-cs"/>
            </a:rPr>
            <a:t>贷款</a:t>
          </a:r>
          <a:r>
            <a:rPr lang="zh-CN" altLang="zh-CN" sz="1100" b="1">
              <a:latin typeface="+mn-lt"/>
              <a:ea typeface="+mn-ea"/>
              <a:cs typeface="+mn-cs"/>
            </a:rPr>
            <a:t>余额</a:t>
          </a:r>
          <a:endParaRPr lang="zh-CN" altLang="zh-CN"/>
        </a:p>
        <a:p>
          <a:pPr>
            <a:lnSpc>
              <a:spcPts val="1200"/>
            </a:lnSpc>
          </a:pPr>
          <a:endParaRPr lang="zh-CN" altLang="en-US" sz="1100"/>
        </a:p>
      </cdr:txBody>
    </cdr:sp>
  </cdr:relSizeAnchor>
</c:userShapes>
</file>

<file path=word/drawings/drawing15.xml><?xml version="1.0" encoding="utf-8"?>
<c:userShapes xmlns:c="http://schemas.openxmlformats.org/drawingml/2006/chart">
  <cdr:relSizeAnchor xmlns:cdr="http://schemas.openxmlformats.org/drawingml/2006/chartDrawing">
    <cdr:from>
      <cdr:x>0.35208</cdr:x>
      <cdr:y>0.01042</cdr:y>
    </cdr:from>
    <cdr:to>
      <cdr:x>0.76667</cdr:x>
      <cdr:y>0.10069</cdr:y>
    </cdr:to>
    <cdr:sp>
      <cdr:nvSpPr>
        <cdr:cNvPr id="2" name="矩形 1"/>
        <cdr:cNvSpPr/>
      </cdr:nvSpPr>
      <cdr:spPr xmlns:a="http://schemas.openxmlformats.org/drawingml/2006/main">
        <a:xfrm xmlns:a="http://schemas.openxmlformats.org/drawingml/2006/main">
          <a:off x="1609725" y="28575"/>
          <a:ext cx="1895475" cy="24765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100"/>
            <a:t>中小学在校学生数</a:t>
          </a:r>
          <a:endParaRPr lang="zh-CN" altLang="en-US" sz="1100"/>
        </a:p>
      </cdr:txBody>
    </cdr:sp>
  </cdr:relSizeAnchor>
  <cdr:relSizeAnchor xmlns:cdr="http://schemas.openxmlformats.org/drawingml/2006/chartDrawing">
    <cdr:from>
      <cdr:x>0.69791</cdr:x>
      <cdr:y>0.01078</cdr:y>
    </cdr:from>
    <cdr:to>
      <cdr:x>0.93541</cdr:x>
      <cdr:y>0.10453</cdr:y>
    </cdr:to>
    <cdr:sp>
      <cdr:nvSpPr>
        <cdr:cNvPr id="3" name="矩形 2"/>
        <cdr:cNvSpPr/>
      </cdr:nvSpPr>
      <cdr:spPr xmlns:a="http://schemas.openxmlformats.org/drawingml/2006/main">
        <a:xfrm xmlns:a="http://schemas.openxmlformats.org/drawingml/2006/main">
          <a:off x="3190860" y="31218"/>
          <a:ext cx="1085850" cy="271462"/>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100"/>
            <a:t>单位：万人</a:t>
          </a:r>
          <a:endParaRPr lang="zh-CN" altLang="en-US" sz="1100"/>
        </a:p>
      </cdr:txBody>
    </cdr:sp>
  </cdr:relSizeAnchor>
</c:userShapes>
</file>

<file path=word/drawings/drawing16.xml><?xml version="1.0" encoding="utf-8"?>
<c:userShapes xmlns:c="http://schemas.openxmlformats.org/drawingml/2006/chart">
  <cdr:relSizeAnchor xmlns:cdr="http://schemas.openxmlformats.org/drawingml/2006/chartDrawing">
    <cdr:from>
      <cdr:x>0.3125</cdr:x>
      <cdr:y>0.0243</cdr:y>
    </cdr:from>
    <cdr:to>
      <cdr:x>0.78542</cdr:x>
      <cdr:y>0.12153</cdr:y>
    </cdr:to>
    <cdr:sp>
      <cdr:nvSpPr>
        <cdr:cNvPr id="2" name="矩形 1"/>
        <cdr:cNvSpPr/>
      </cdr:nvSpPr>
      <cdr:spPr xmlns:a="http://schemas.openxmlformats.org/drawingml/2006/main">
        <a:xfrm xmlns:a="http://schemas.openxmlformats.org/drawingml/2006/main">
          <a:off x="1428750" y="66673"/>
          <a:ext cx="2162175" cy="266701"/>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100"/>
            <a:t>医院、卫生院医生数及床位数</a:t>
          </a:r>
          <a:endParaRPr lang="zh-CN" altLang="en-US" sz="1100"/>
        </a:p>
      </cdr:txBody>
    </cdr:sp>
  </cdr:relSizeAnchor>
</c:userShapes>
</file>

<file path=word/drawings/drawing17.xml><?xml version="1.0" encoding="utf-8"?>
<c:userShapes xmlns:c="http://schemas.openxmlformats.org/drawingml/2006/chart">
  <cdr:relSizeAnchor xmlns:cdr="http://schemas.openxmlformats.org/drawingml/2006/chartDrawing">
    <cdr:from>
      <cdr:x>0.36875</cdr:x>
      <cdr:y>0.01389</cdr:y>
    </cdr:from>
    <cdr:to>
      <cdr:x>0.7375</cdr:x>
      <cdr:y>0.10764</cdr:y>
    </cdr:to>
    <cdr:sp>
      <cdr:nvSpPr>
        <cdr:cNvPr id="2" name="矩形 1"/>
        <cdr:cNvSpPr/>
      </cdr:nvSpPr>
      <cdr:spPr xmlns:a="http://schemas.openxmlformats.org/drawingml/2006/main">
        <a:xfrm xmlns:a="http://schemas.openxmlformats.org/drawingml/2006/main">
          <a:off x="1685925" y="38100"/>
          <a:ext cx="1685925" cy="25717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200" b="1"/>
            <a:t>户籍人口</a:t>
          </a:r>
          <a:endParaRPr lang="zh-CN" altLang="en-US" sz="1200" b="1"/>
        </a:p>
      </cdr:txBody>
    </cdr:sp>
  </cdr:relSizeAnchor>
</c:userShapes>
</file>

<file path=word/drawings/drawing18.xml><?xml version="1.0" encoding="utf-8"?>
<c:userShapes xmlns:c="http://schemas.openxmlformats.org/drawingml/2006/chart">
  <cdr:relSizeAnchor xmlns:cdr="http://schemas.openxmlformats.org/drawingml/2006/chartDrawing">
    <cdr:from>
      <cdr:x>0.26875</cdr:x>
      <cdr:y>0.01389</cdr:y>
    </cdr:from>
    <cdr:to>
      <cdr:x>0.76667</cdr:x>
      <cdr:y>0.10069</cdr:y>
    </cdr:to>
    <cdr:sp>
      <cdr:nvSpPr>
        <cdr:cNvPr id="2" name="矩形 1"/>
        <cdr:cNvSpPr/>
      </cdr:nvSpPr>
      <cdr:spPr xmlns:a="http://schemas.openxmlformats.org/drawingml/2006/main">
        <a:xfrm xmlns:a="http://schemas.openxmlformats.org/drawingml/2006/main">
          <a:off x="1228724" y="38099"/>
          <a:ext cx="2276475" cy="23812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200" b="1"/>
            <a:t>城镇常住居民人均可支配收入</a:t>
          </a:r>
          <a:endParaRPr lang="zh-CN" altLang="en-US" sz="1200" b="1"/>
        </a:p>
      </cdr:txBody>
    </cdr:sp>
  </cdr:relSizeAnchor>
</c:userShapes>
</file>

<file path=word/drawings/drawing19.xml><?xml version="1.0" encoding="utf-8"?>
<c:userShapes xmlns:c="http://schemas.openxmlformats.org/drawingml/2006/chart">
  <cdr:relSizeAnchor xmlns:cdr="http://schemas.openxmlformats.org/drawingml/2006/chartDrawing">
    <cdr:from>
      <cdr:x>0.27292</cdr:x>
      <cdr:y>0.01389</cdr:y>
    </cdr:from>
    <cdr:to>
      <cdr:x>0.76458</cdr:x>
      <cdr:y>0.12153</cdr:y>
    </cdr:to>
    <cdr:sp>
      <cdr:nvSpPr>
        <cdr:cNvPr id="2" name="矩形 1"/>
        <cdr:cNvSpPr/>
      </cdr:nvSpPr>
      <cdr:spPr xmlns:a="http://schemas.openxmlformats.org/drawingml/2006/main">
        <a:xfrm xmlns:a="http://schemas.openxmlformats.org/drawingml/2006/main">
          <a:off x="1247774" y="38101"/>
          <a:ext cx="2247901" cy="295274"/>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pPr marL="0" marR="0" indent="0" defTabSz="914400" eaLnBrk="1" fontAlgn="auto" latinLnBrk="0" hangingPunct="1">
            <a:lnSpc>
              <a:spcPct val="100000"/>
            </a:lnSpc>
            <a:spcBef>
              <a:spcPts val="0"/>
            </a:spcBef>
            <a:spcAft>
              <a:spcPts val="0"/>
            </a:spcAft>
            <a:buClrTx/>
            <a:buSzTx/>
            <a:buFontTx/>
            <a:buNone/>
            <a:defRPr/>
          </a:pPr>
          <a:r>
            <a:rPr lang="zh-CN" altLang="en-US" sz="1100" b="1">
              <a:latin typeface="+mn-lt"/>
              <a:ea typeface="+mn-ea"/>
              <a:cs typeface="+mn-cs"/>
            </a:rPr>
            <a:t>农村</a:t>
          </a:r>
          <a:r>
            <a:rPr lang="zh-CN" altLang="zh-CN" sz="1100" b="1">
              <a:latin typeface="+mn-lt"/>
              <a:ea typeface="+mn-ea"/>
              <a:cs typeface="+mn-cs"/>
            </a:rPr>
            <a:t>常住居民人均可支配收入</a:t>
          </a:r>
          <a:endParaRPr lang="zh-CN" altLang="zh-CN"/>
        </a:p>
        <a:p>
          <a:endParaRPr lang="zh-CN"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0.33374</cdr:x>
      <cdr:y>0.04003</cdr:y>
    </cdr:from>
    <cdr:to>
      <cdr:x>0.67925</cdr:x>
      <cdr:y>0.13399</cdr:y>
    </cdr:to>
    <cdr:sp>
      <cdr:nvSpPr>
        <cdr:cNvPr id="2" name="矩形 1"/>
        <cdr:cNvSpPr/>
      </cdr:nvSpPr>
      <cdr:spPr xmlns:a="http://schemas.openxmlformats.org/drawingml/2006/main">
        <a:xfrm xmlns:a="http://schemas.openxmlformats.org/drawingml/2006/main">
          <a:off x="1516321" y="116683"/>
          <a:ext cx="1569780" cy="273841"/>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200" b="1"/>
            <a:t>农林牧渔业增加值</a:t>
          </a:r>
          <a:endParaRPr lang="zh-CN" altLang="en-US" sz="1200" b="1"/>
        </a:p>
      </cdr:txBody>
    </cdr:sp>
  </cdr:relSizeAnchor>
</c:userShapes>
</file>

<file path=word/drawings/drawing3.xml><?xml version="1.0" encoding="utf-8"?>
<c:userShapes xmlns:c="http://schemas.openxmlformats.org/drawingml/2006/chart">
  <cdr:relSizeAnchor xmlns:cdr="http://schemas.openxmlformats.org/drawingml/2006/chartDrawing">
    <cdr:from>
      <cdr:x>0.36042</cdr:x>
      <cdr:y>0.03472</cdr:y>
    </cdr:from>
    <cdr:to>
      <cdr:x>0.69167</cdr:x>
      <cdr:y>0.12847</cdr:y>
    </cdr:to>
    <cdr:sp>
      <cdr:nvSpPr>
        <cdr:cNvPr id="2" name="矩形 1"/>
        <cdr:cNvSpPr/>
      </cdr:nvSpPr>
      <cdr:spPr xmlns:a="http://schemas.openxmlformats.org/drawingml/2006/main">
        <a:xfrm xmlns:a="http://schemas.openxmlformats.org/drawingml/2006/main">
          <a:off x="1647824" y="95250"/>
          <a:ext cx="1514475" cy="25717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100" b="1"/>
            <a:t>规模以上工业总产值</a:t>
          </a:r>
          <a:endParaRPr lang="zh-CN" altLang="en-US" sz="1100" b="1"/>
        </a:p>
      </cdr:txBody>
    </cdr:sp>
  </cdr:relSizeAnchor>
</c:userShapes>
</file>

<file path=word/drawings/drawing4.xml><?xml version="1.0" encoding="utf-8"?>
<c:userShapes xmlns:c="http://schemas.openxmlformats.org/drawingml/2006/chart">
  <cdr:relSizeAnchor xmlns:cdr="http://schemas.openxmlformats.org/drawingml/2006/chartDrawing">
    <cdr:from>
      <cdr:x>0.35967</cdr:x>
      <cdr:y>0.01014</cdr:y>
    </cdr:from>
    <cdr:to>
      <cdr:x>0.65333</cdr:x>
      <cdr:y>0.09732</cdr:y>
    </cdr:to>
    <cdr:sp>
      <cdr:nvSpPr>
        <cdr:cNvPr id="2" name="矩形 1"/>
        <cdr:cNvSpPr/>
      </cdr:nvSpPr>
      <cdr:spPr xmlns:a="http://schemas.openxmlformats.org/drawingml/2006/main">
        <a:xfrm xmlns:a="http://schemas.openxmlformats.org/drawingml/2006/main">
          <a:off x="1541635" y="28782"/>
          <a:ext cx="1258715" cy="247443"/>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200" b="1"/>
            <a:t>工业用电量</a:t>
          </a:r>
          <a:endParaRPr lang="zh-CN" altLang="en-US" sz="1200" b="1"/>
        </a:p>
      </cdr:txBody>
    </cdr:sp>
  </cdr:relSizeAnchor>
</c:userShapes>
</file>

<file path=word/drawings/drawing5.xml><?xml version="1.0" encoding="utf-8"?>
<c:userShapes xmlns:c="http://schemas.openxmlformats.org/drawingml/2006/chart">
  <cdr:relSizeAnchor xmlns:cdr="http://schemas.openxmlformats.org/drawingml/2006/chartDrawing">
    <cdr:from>
      <cdr:x>0.31041</cdr:x>
      <cdr:y>0.01736</cdr:y>
    </cdr:from>
    <cdr:to>
      <cdr:x>0.7</cdr:x>
      <cdr:y>0.12848</cdr:y>
    </cdr:to>
    <cdr:sp>
      <cdr:nvSpPr>
        <cdr:cNvPr id="2" name="矩形 1"/>
        <cdr:cNvSpPr/>
      </cdr:nvSpPr>
      <cdr:spPr xmlns:a="http://schemas.openxmlformats.org/drawingml/2006/main">
        <a:xfrm xmlns:a="http://schemas.openxmlformats.org/drawingml/2006/main">
          <a:off x="1419210" y="47613"/>
          <a:ext cx="1781205" cy="304824"/>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200" b="1"/>
            <a:t>社会消费品零售总额</a:t>
          </a:r>
          <a:endParaRPr lang="zh-CN" altLang="en-US" sz="1200" b="1"/>
        </a:p>
      </cdr:txBody>
    </cdr:sp>
  </cdr:relSizeAnchor>
</c:userShapes>
</file>

<file path=word/drawings/drawing6.xml><?xml version="1.0" encoding="utf-8"?>
<c:userShapes xmlns:c="http://schemas.openxmlformats.org/drawingml/2006/chart">
  <cdr:relSizeAnchor xmlns:cdr="http://schemas.openxmlformats.org/drawingml/2006/chartDrawing">
    <cdr:from>
      <cdr:x>0.35417</cdr:x>
      <cdr:y>0.02778</cdr:y>
    </cdr:from>
    <cdr:to>
      <cdr:x>0.69167</cdr:x>
      <cdr:y>0.14236</cdr:y>
    </cdr:to>
    <cdr:sp>
      <cdr:nvSpPr>
        <cdr:cNvPr id="2" name="矩形 1"/>
        <cdr:cNvSpPr/>
      </cdr:nvSpPr>
      <cdr:spPr xmlns:a="http://schemas.openxmlformats.org/drawingml/2006/main">
        <a:xfrm xmlns:a="http://schemas.openxmlformats.org/drawingml/2006/main">
          <a:off x="1619265" y="76206"/>
          <a:ext cx="1543050" cy="314316"/>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100" b="1"/>
            <a:t>集贸市场成交额</a:t>
          </a:r>
          <a:endParaRPr lang="zh-CN" altLang="en-US" sz="1100" b="1"/>
        </a:p>
      </cdr:txBody>
    </cdr:sp>
  </cdr:relSizeAnchor>
</c:userShapes>
</file>

<file path=word/drawings/drawing7.xml><?xml version="1.0" encoding="utf-8"?>
<c:userShapes xmlns:c="http://schemas.openxmlformats.org/drawingml/2006/chart">
  <cdr:relSizeAnchor xmlns:cdr="http://schemas.openxmlformats.org/drawingml/2006/chartDrawing">
    <cdr:from>
      <cdr:x>0.28542</cdr:x>
      <cdr:y>0.03125</cdr:y>
    </cdr:from>
    <cdr:to>
      <cdr:x>0.7</cdr:x>
      <cdr:y>0.11458</cdr:y>
    </cdr:to>
    <cdr:sp>
      <cdr:nvSpPr>
        <cdr:cNvPr id="2" name="矩形 1"/>
        <cdr:cNvSpPr/>
      </cdr:nvSpPr>
      <cdr:spPr xmlns:a="http://schemas.openxmlformats.org/drawingml/2006/main">
        <a:xfrm xmlns:a="http://schemas.openxmlformats.org/drawingml/2006/main">
          <a:off x="1304924" y="85726"/>
          <a:ext cx="1895475" cy="22860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100" b="1"/>
            <a:t>中国小商品城市场成交额</a:t>
          </a:r>
          <a:endParaRPr lang="zh-CN" altLang="en-US" sz="1100" b="1"/>
        </a:p>
      </cdr:txBody>
    </cdr:sp>
  </cdr:relSizeAnchor>
</c:userShapes>
</file>

<file path=word/drawings/drawing8.xml><?xml version="1.0" encoding="utf-8"?>
<c:userShapes xmlns:c="http://schemas.openxmlformats.org/drawingml/2006/chart">
  <cdr:relSizeAnchor xmlns:cdr="http://schemas.openxmlformats.org/drawingml/2006/chartDrawing">
    <cdr:from>
      <cdr:x>0.41441</cdr:x>
      <cdr:y>0.0243</cdr:y>
    </cdr:from>
    <cdr:to>
      <cdr:x>0.62397</cdr:x>
      <cdr:y>0.12153</cdr:y>
    </cdr:to>
    <cdr:sp>
      <cdr:nvSpPr>
        <cdr:cNvPr id="2" name="矩形 1"/>
        <cdr:cNvSpPr/>
      </cdr:nvSpPr>
      <cdr:spPr xmlns:a="http://schemas.openxmlformats.org/drawingml/2006/main">
        <a:xfrm xmlns:a="http://schemas.openxmlformats.org/drawingml/2006/main">
          <a:off x="1910477" y="66671"/>
          <a:ext cx="966073" cy="266703"/>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200" b="1"/>
            <a:t>出口总额</a:t>
          </a:r>
          <a:endParaRPr lang="zh-CN" altLang="en-US" sz="1200" b="1"/>
        </a:p>
      </cdr:txBody>
    </cdr:sp>
  </cdr:relSizeAnchor>
</c:userShapes>
</file>

<file path=word/drawings/drawing9.xml><?xml version="1.0" encoding="utf-8"?>
<c:userShapes xmlns:c="http://schemas.openxmlformats.org/drawingml/2006/chart">
  <cdr:relSizeAnchor xmlns:cdr="http://schemas.openxmlformats.org/drawingml/2006/chartDrawing">
    <cdr:from>
      <cdr:x>0.36458</cdr:x>
      <cdr:y>0.01736</cdr:y>
    </cdr:from>
    <cdr:to>
      <cdr:x>0.69375</cdr:x>
      <cdr:y>0.12153</cdr:y>
    </cdr:to>
    <cdr:sp>
      <cdr:nvSpPr>
        <cdr:cNvPr id="2" name="矩形 1"/>
        <cdr:cNvSpPr/>
      </cdr:nvSpPr>
      <cdr:spPr xmlns:a="http://schemas.openxmlformats.org/drawingml/2006/main">
        <a:xfrm xmlns:a="http://schemas.openxmlformats.org/drawingml/2006/main">
          <a:off x="1666875" y="47622"/>
          <a:ext cx="1504965" cy="285759"/>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200" b="1"/>
            <a:t>实际利用外资</a:t>
          </a:r>
          <a:endParaRPr lang="zh-CN" altLang="en-US" sz="1200" b="1"/>
        </a:p>
      </cdr:txBody>
    </cdr:sp>
  </cdr:relSizeAnchor>
</c:userShap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义政办发201800</Template>
  <Company>CHINA</Company>
  <Pages>25</Pages>
  <Words>8541</Words>
  <Characters>10609</Characters>
  <Lines>76</Lines>
  <Paragraphs>21</Paragraphs>
  <TotalTime>220</TotalTime>
  <ScaleCrop>false</ScaleCrop>
  <LinksUpToDate>false</LinksUpToDate>
  <CharactersWithSpaces>10662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2019-02-01T12:22:00Z</dcterms:created>
  <dc:creator>毛丫头</dc:creator>
  <cp:lastModifiedBy>龚秀娟</cp:lastModifiedBy>
  <cp:lastPrinted>2019-02-01T12:15:00Z</cp:lastPrinted>
  <dcterms:modified xsi:type="dcterms:W3CDTF">2023-04-14T02:27:18Z</dcterms:modified>
  <dc:title>义政办200</dc:title>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oiioBoundaries">
    <vt:bool>true</vt:bool>
  </property>
  <property fmtid="{D5CDD505-2E9C-101B-9397-08002B2CF9AE}" pid="4" name="ICV">
    <vt:lpwstr>42F6BD4D92C04022B6C1CE9306EB8898</vt:lpwstr>
  </property>
</Properties>
</file>