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Times New Roman" w:hAnsi="Times New Roman" w:eastAsia="方正小标宋简体"/>
          <w:spacing w:val="20"/>
          <w:kern w:val="44"/>
          <w:sz w:val="44"/>
          <w:szCs w:val="44"/>
        </w:rPr>
      </w:pPr>
      <w:r>
        <w:rPr>
          <w:rFonts w:ascii="Times New Roman" w:hAnsi="Times New Roman" w:eastAsia="方正小标宋简体"/>
          <w:spacing w:val="20"/>
          <w:kern w:val="44"/>
          <w:sz w:val="44"/>
          <w:szCs w:val="44"/>
        </w:rPr>
        <w:t>2022年度规上（限上）非实际用地服务业企</w:t>
      </w:r>
      <w:r>
        <w:rPr>
          <w:rFonts w:hint="eastAsia" w:ascii="方正小标宋简体" w:hAnsi="方正小标宋简体" w:eastAsia="方正小标宋简体" w:cs="方正小标宋简体"/>
          <w:spacing w:val="20"/>
          <w:kern w:val="44"/>
          <w:sz w:val="44"/>
          <w:szCs w:val="44"/>
        </w:rPr>
        <w:t>业“亩产效益”综</w:t>
      </w:r>
      <w:r>
        <w:rPr>
          <w:rFonts w:ascii="Times New Roman" w:hAnsi="Times New Roman" w:eastAsia="方正小标宋简体"/>
          <w:spacing w:val="20"/>
          <w:kern w:val="44"/>
          <w:sz w:val="44"/>
          <w:szCs w:val="44"/>
        </w:rPr>
        <w:t>合评价结果（A类）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一、批发业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浙江义乌中国小商品城进出口有限公司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浙江开亚国际供应链有限公司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义乌市鼎富贸易有限公司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义乌中国小商品城控股有限责任公司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义乌罗蒙电子商务有限公司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义乌市宏仓进出口有限公司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义乌市峻凯电子产品有限公司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浙江聚达供应链服务有限公司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贾泰金属资源（义乌）有限公司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义乌市晨兴文具用品有限公司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义乌市千岸电子商务有限公司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义乌中国小商品城供应链管理有限公司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浙江普迦进出口有限公司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义乌市锦莘贸易有限公司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义乌百橘贸易有限公司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义乌市如泉塑料机械有限公司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义乌市金日纸业有限公司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浙江三溪堂药业有限公司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浙江国鼎酒业有限公司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义乌佰昕建材有限责任公司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浙江自贸区励旺贸易有限公司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义乌尤他贸易有限公司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义乌市大湖头进出口有限公司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义乌市东鼎科技有限公司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浙江米团供应链服务有限公司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义乌市楚工商贸有限公司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义乌市好吉利实业有限公司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义乌市以赛亚纸业有限公司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义乌市恒信燃气有限公司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义乌益然化妆品有限公司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义乌市寓素贸易有限公司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义乌市森升贸易有限公司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浙江馨福进出口有限公司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义乌市铖源电子商务有限公司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义乌田美进出口有限公司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义乌市赢星供应链管理有限公司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义乌市凯特进出口有限公司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义乌速锐进出口有限公司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义乌展程体育用品有限公司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义乌荣御进出口有限公司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义乌市嘉福进出口有限公司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义乌市恒发副食有限公司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义乌市宏宸进出口有限公司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浙江梦蕾进出口有限公司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浙江紫鸿进出口有限公司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二、零售业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义乌欧龙汽车销售服务有限公司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义乌利星汽车有限公司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义乌泓宝行汽车销售服务有限公司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义乌首诺电子商务有限公司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义乌市信宝行汽车销售服务有限公司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义乌银泰百货有限公司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义乌迪通汽车销售有限公司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大德药房连锁有限公司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浙江宜美手机电子通讯有限公司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义乌市天佑电子科技有限公司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浙江真爱美家股份有限公司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三、住宿餐饮业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义乌市聚千味缘餐饮有限公司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义乌佰辉餐饮有限公司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四、科技服务业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浙江义达建设管理有限公司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义乌市安迪水利水电勘测设计股份有限公司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浙江中鼎检测技术有限公司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浙江丰合检测技术股份有限公司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五、信息服务业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义乌中国小商品城大数据有限公司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浙江义乌购电子商务有限公司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收稻网络科技（义乌）有限公司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浙江阳普网络科技有限公司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浙江小牛寻宝环境科技有限公司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浙江立为信息科技有限公司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浙江科友信息工程股份有限公司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六、商务服务业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义乌市沃克劳动服务有限公司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浙江义乌中国小商品城广告有限责任公司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义乌中国小商品城展览股份有限公司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义乌市永安保安服务有限公司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浙江省义乌市恒风国际旅游有限公司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义乌市恒风传媒科技有限公司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浙江稠州保安服务有限公司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浙江瑝嘉保安服务有限公司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七、其他服务业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义乌市中国小商品城物业服务有限公司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义乌三溪堂中医保健院有限公司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浙江安诺优达生物科技有限公司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浙江新光物业服务有限公司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华成市场管理（金华）有限公司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义乌市成建物业服务有限公司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浙江雪峰物业服务有限公司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firstLine="616" w:firstLineChars="200"/>
        <w:textAlignment w:val="auto"/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八、现代物流业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浙江盈和国际物流有限公司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义乌市工惠物业服务有限公司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义乌市陆港国际班列有限公司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义乌晋宇货物装卸有限公司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义乌市众通快递有限公司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浙江吉泰供应链管理有限公司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DBF74D6"/>
    <w:rsid w:val="2DB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2024-02-07T06:51:00Z</dcterms:created>
  <dc:creator>龚秀娟</dc:creator>
  <cp:lastModifiedBy>龚秀娟</cp:lastModifiedBy>
  <dcterms:modified xsi:type="dcterms:W3CDTF">2024-02-07T06:52:05Z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31E3D089F9FF4B0C8881883CD5B0A426_11</vt:lpwstr>
  </property>
</Properties>
</file>