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ind w:firstLine="880"/>
        <w:jc w:val="center"/>
        <w:rPr>
          <w:rFonts w:eastAsia="方正书宋简体"/>
          <w:sz w:val="44"/>
          <w:szCs w:val="44"/>
          <w:highlight w:val="none"/>
        </w:rPr>
      </w:pPr>
    </w:p>
    <w:p>
      <w:pPr>
        <w:spacing w:line="590" w:lineRule="exact"/>
        <w:ind w:firstLine="880"/>
        <w:jc w:val="center"/>
        <w:rPr>
          <w:rFonts w:eastAsia="方正书宋简体"/>
          <w:sz w:val="44"/>
          <w:szCs w:val="44"/>
          <w:highlight w:val="none"/>
        </w:rPr>
      </w:pPr>
    </w:p>
    <w:p>
      <w:pPr>
        <w:spacing w:line="590" w:lineRule="exact"/>
        <w:ind w:firstLine="880"/>
        <w:jc w:val="center"/>
        <w:rPr>
          <w:rFonts w:eastAsia="方正书宋简体"/>
          <w:sz w:val="44"/>
          <w:szCs w:val="44"/>
          <w:highlight w:val="none"/>
        </w:rPr>
      </w:pPr>
    </w:p>
    <w:p>
      <w:pPr>
        <w:spacing w:line="590" w:lineRule="exact"/>
        <w:ind w:firstLine="880"/>
        <w:jc w:val="center"/>
        <w:rPr>
          <w:rFonts w:eastAsia="方正书宋简体"/>
          <w:sz w:val="44"/>
          <w:szCs w:val="44"/>
          <w:highlight w:val="none"/>
        </w:rPr>
      </w:pPr>
    </w:p>
    <w:p>
      <w:pPr>
        <w:spacing w:line="590" w:lineRule="exact"/>
        <w:ind w:firstLine="880"/>
        <w:jc w:val="center"/>
        <w:rPr>
          <w:rFonts w:eastAsia="方正书宋简体"/>
          <w:sz w:val="44"/>
          <w:szCs w:val="4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eastAsia="方正小标宋简体"/>
          <w:sz w:val="52"/>
          <w:szCs w:val="52"/>
          <w:highlight w:val="none"/>
        </w:rPr>
      </w:pPr>
      <w:r>
        <w:rPr>
          <w:rFonts w:hint="eastAsia" w:eastAsia="方正小标宋简体"/>
          <w:sz w:val="52"/>
          <w:szCs w:val="52"/>
          <w:highlight w:val="none"/>
        </w:rPr>
        <w:t>义乌市充电桩布局“十四五”</w:t>
      </w:r>
      <w:r>
        <w:rPr>
          <w:rFonts w:eastAsia="方正小标宋简体"/>
          <w:sz w:val="52"/>
          <w:szCs w:val="52"/>
          <w:highlight w:val="none"/>
        </w:rPr>
        <w:t>规划</w:t>
      </w:r>
    </w:p>
    <w:p>
      <w:pPr>
        <w:keepNext w:val="0"/>
        <w:keepLines w:val="0"/>
        <w:pageBreakBefore w:val="0"/>
        <w:widowControl w:val="0"/>
        <w:kinsoku/>
        <w:wordWrap/>
        <w:overflowPunct/>
        <w:topLinePunct w:val="0"/>
        <w:autoSpaceDE/>
        <w:autoSpaceDN/>
        <w:bidi w:val="0"/>
        <w:adjustRightInd/>
        <w:snapToGrid/>
        <w:spacing w:line="590" w:lineRule="exact"/>
        <w:ind w:firstLine="0" w:firstLineChars="0"/>
        <w:jc w:val="center"/>
        <w:textAlignment w:val="auto"/>
        <w:rPr>
          <w:rFonts w:eastAsia="方正书宋简体"/>
          <w:sz w:val="44"/>
          <w:szCs w:val="44"/>
          <w:highlight w:val="none"/>
        </w:rPr>
      </w:pPr>
    </w:p>
    <w:p>
      <w:pPr>
        <w:keepNext w:val="0"/>
        <w:keepLines w:val="0"/>
        <w:pageBreakBefore w:val="0"/>
        <w:widowControl w:val="0"/>
        <w:kinsoku/>
        <w:wordWrap/>
        <w:overflowPunct/>
        <w:topLinePunct w:val="0"/>
        <w:autoSpaceDE/>
        <w:autoSpaceDN/>
        <w:bidi w:val="0"/>
        <w:adjustRightInd/>
        <w:snapToGrid/>
        <w:spacing w:line="590" w:lineRule="exact"/>
        <w:ind w:firstLine="0" w:firstLineChars="0"/>
        <w:jc w:val="center"/>
        <w:textAlignment w:val="auto"/>
        <w:rPr>
          <w:rFonts w:eastAsia="方正书宋简体"/>
          <w:sz w:val="44"/>
          <w:szCs w:val="44"/>
          <w:highlight w:val="none"/>
        </w:rPr>
      </w:pPr>
    </w:p>
    <w:p>
      <w:pPr>
        <w:keepNext w:val="0"/>
        <w:keepLines w:val="0"/>
        <w:pageBreakBefore w:val="0"/>
        <w:widowControl w:val="0"/>
        <w:kinsoku/>
        <w:wordWrap/>
        <w:overflowPunct/>
        <w:topLinePunct w:val="0"/>
        <w:autoSpaceDE/>
        <w:autoSpaceDN/>
        <w:bidi w:val="0"/>
        <w:adjustRightInd/>
        <w:snapToGrid/>
        <w:spacing w:line="590" w:lineRule="exact"/>
        <w:ind w:firstLine="0" w:firstLineChars="0"/>
        <w:jc w:val="center"/>
        <w:textAlignment w:val="auto"/>
        <w:rPr>
          <w:rFonts w:eastAsia="方正书宋简体"/>
          <w:sz w:val="44"/>
          <w:szCs w:val="44"/>
          <w:highlight w:val="none"/>
        </w:rPr>
      </w:pPr>
    </w:p>
    <w:p>
      <w:pPr>
        <w:keepNext w:val="0"/>
        <w:keepLines w:val="0"/>
        <w:pageBreakBefore w:val="0"/>
        <w:widowControl w:val="0"/>
        <w:kinsoku/>
        <w:wordWrap/>
        <w:overflowPunct/>
        <w:topLinePunct w:val="0"/>
        <w:autoSpaceDE/>
        <w:autoSpaceDN/>
        <w:bidi w:val="0"/>
        <w:adjustRightInd/>
        <w:snapToGrid/>
        <w:spacing w:line="590" w:lineRule="exact"/>
        <w:ind w:firstLine="0" w:firstLineChars="0"/>
        <w:jc w:val="center"/>
        <w:textAlignment w:val="auto"/>
        <w:rPr>
          <w:rFonts w:eastAsia="方正书宋简体"/>
          <w:sz w:val="44"/>
          <w:szCs w:val="44"/>
          <w:highlight w:val="none"/>
        </w:rPr>
      </w:pPr>
    </w:p>
    <w:p>
      <w:pPr>
        <w:keepNext w:val="0"/>
        <w:keepLines w:val="0"/>
        <w:pageBreakBefore w:val="0"/>
        <w:widowControl w:val="0"/>
        <w:kinsoku/>
        <w:wordWrap/>
        <w:overflowPunct/>
        <w:topLinePunct w:val="0"/>
        <w:autoSpaceDE/>
        <w:autoSpaceDN/>
        <w:bidi w:val="0"/>
        <w:adjustRightInd/>
        <w:snapToGrid/>
        <w:spacing w:line="590" w:lineRule="exact"/>
        <w:ind w:firstLine="0" w:firstLineChars="0"/>
        <w:jc w:val="center"/>
        <w:textAlignment w:val="auto"/>
        <w:rPr>
          <w:rFonts w:eastAsia="方正书宋简体"/>
          <w:sz w:val="44"/>
          <w:szCs w:val="44"/>
          <w:highlight w:val="none"/>
        </w:rPr>
      </w:pPr>
    </w:p>
    <w:p>
      <w:pPr>
        <w:keepNext w:val="0"/>
        <w:keepLines w:val="0"/>
        <w:pageBreakBefore w:val="0"/>
        <w:widowControl w:val="0"/>
        <w:kinsoku/>
        <w:wordWrap/>
        <w:overflowPunct/>
        <w:topLinePunct w:val="0"/>
        <w:autoSpaceDE/>
        <w:autoSpaceDN/>
        <w:bidi w:val="0"/>
        <w:adjustRightInd/>
        <w:snapToGrid/>
        <w:spacing w:line="590" w:lineRule="exact"/>
        <w:ind w:firstLine="0" w:firstLineChars="0"/>
        <w:jc w:val="center"/>
        <w:textAlignment w:val="auto"/>
        <w:rPr>
          <w:rFonts w:eastAsia="方正书宋简体"/>
          <w:sz w:val="44"/>
          <w:szCs w:val="44"/>
          <w:highlight w:val="none"/>
        </w:rPr>
      </w:pPr>
    </w:p>
    <w:p>
      <w:pPr>
        <w:keepNext w:val="0"/>
        <w:keepLines w:val="0"/>
        <w:pageBreakBefore w:val="0"/>
        <w:widowControl w:val="0"/>
        <w:kinsoku/>
        <w:wordWrap/>
        <w:overflowPunct/>
        <w:topLinePunct w:val="0"/>
        <w:autoSpaceDE/>
        <w:autoSpaceDN/>
        <w:bidi w:val="0"/>
        <w:adjustRightInd/>
        <w:snapToGrid/>
        <w:spacing w:line="590" w:lineRule="exact"/>
        <w:ind w:firstLine="0" w:firstLineChars="0"/>
        <w:jc w:val="center"/>
        <w:textAlignment w:val="auto"/>
        <w:rPr>
          <w:rFonts w:eastAsia="方正书宋简体"/>
          <w:sz w:val="44"/>
          <w:szCs w:val="44"/>
          <w:highlight w:val="none"/>
        </w:rPr>
      </w:pPr>
    </w:p>
    <w:p>
      <w:pPr>
        <w:keepNext w:val="0"/>
        <w:keepLines w:val="0"/>
        <w:pageBreakBefore w:val="0"/>
        <w:widowControl w:val="0"/>
        <w:kinsoku/>
        <w:wordWrap/>
        <w:overflowPunct/>
        <w:topLinePunct w:val="0"/>
        <w:autoSpaceDE/>
        <w:autoSpaceDN/>
        <w:bidi w:val="0"/>
        <w:adjustRightInd/>
        <w:snapToGrid/>
        <w:spacing w:line="590" w:lineRule="exact"/>
        <w:ind w:firstLine="0" w:firstLineChars="0"/>
        <w:jc w:val="center"/>
        <w:textAlignment w:val="auto"/>
        <w:rPr>
          <w:rFonts w:eastAsia="方正书宋简体"/>
          <w:sz w:val="44"/>
          <w:szCs w:val="44"/>
          <w:highlight w:val="none"/>
        </w:rPr>
      </w:pPr>
    </w:p>
    <w:p>
      <w:pPr>
        <w:keepNext w:val="0"/>
        <w:keepLines w:val="0"/>
        <w:pageBreakBefore w:val="0"/>
        <w:widowControl w:val="0"/>
        <w:kinsoku/>
        <w:wordWrap/>
        <w:overflowPunct/>
        <w:topLinePunct w:val="0"/>
        <w:autoSpaceDE/>
        <w:autoSpaceDN/>
        <w:bidi w:val="0"/>
        <w:adjustRightInd/>
        <w:snapToGrid/>
        <w:spacing w:line="590" w:lineRule="exact"/>
        <w:ind w:firstLine="0" w:firstLineChars="0"/>
        <w:jc w:val="center"/>
        <w:textAlignment w:val="auto"/>
        <w:rPr>
          <w:rFonts w:eastAsia="方正书宋简体"/>
          <w:sz w:val="44"/>
          <w:szCs w:val="44"/>
          <w:highlight w:val="none"/>
        </w:rPr>
      </w:pPr>
    </w:p>
    <w:p>
      <w:pPr>
        <w:keepNext w:val="0"/>
        <w:keepLines w:val="0"/>
        <w:pageBreakBefore w:val="0"/>
        <w:widowControl w:val="0"/>
        <w:kinsoku/>
        <w:wordWrap/>
        <w:overflowPunct/>
        <w:topLinePunct w:val="0"/>
        <w:autoSpaceDE/>
        <w:autoSpaceDN/>
        <w:bidi w:val="0"/>
        <w:adjustRightInd/>
        <w:snapToGrid/>
        <w:spacing w:line="590" w:lineRule="exact"/>
        <w:ind w:firstLine="0" w:firstLineChars="0"/>
        <w:jc w:val="center"/>
        <w:textAlignment w:val="auto"/>
        <w:rPr>
          <w:rFonts w:eastAsia="方正书宋简体"/>
          <w:sz w:val="44"/>
          <w:szCs w:val="44"/>
          <w:highlight w:val="none"/>
        </w:rPr>
      </w:pPr>
    </w:p>
    <w:p>
      <w:pPr>
        <w:keepNext w:val="0"/>
        <w:keepLines w:val="0"/>
        <w:pageBreakBefore w:val="0"/>
        <w:widowControl w:val="0"/>
        <w:kinsoku/>
        <w:wordWrap/>
        <w:overflowPunct/>
        <w:topLinePunct w:val="0"/>
        <w:autoSpaceDE/>
        <w:autoSpaceDN/>
        <w:bidi w:val="0"/>
        <w:adjustRightInd/>
        <w:snapToGrid/>
        <w:spacing w:line="590" w:lineRule="exact"/>
        <w:ind w:firstLine="0" w:firstLineChars="0"/>
        <w:jc w:val="center"/>
        <w:textAlignment w:val="auto"/>
        <w:rPr>
          <w:rFonts w:eastAsia="黑体"/>
          <w:sz w:val="36"/>
          <w:szCs w:val="44"/>
          <w:highlight w:val="none"/>
        </w:rPr>
      </w:pPr>
      <w:r>
        <w:rPr>
          <w:rFonts w:hint="eastAsia" w:eastAsia="黑体"/>
          <w:sz w:val="36"/>
          <w:szCs w:val="44"/>
          <w:highlight w:val="none"/>
        </w:rPr>
        <w:t>义乌市</w:t>
      </w:r>
      <w:r>
        <w:rPr>
          <w:rFonts w:eastAsia="黑体"/>
          <w:sz w:val="36"/>
          <w:szCs w:val="44"/>
          <w:highlight w:val="none"/>
        </w:rPr>
        <w:t>发展和</w:t>
      </w:r>
      <w:r>
        <w:rPr>
          <w:rFonts w:hint="eastAsia" w:eastAsia="黑体"/>
          <w:sz w:val="36"/>
          <w:szCs w:val="44"/>
          <w:highlight w:val="none"/>
        </w:rPr>
        <w:t>改革局</w:t>
      </w:r>
    </w:p>
    <w:p>
      <w:pPr>
        <w:keepNext w:val="0"/>
        <w:keepLines w:val="0"/>
        <w:pageBreakBefore w:val="0"/>
        <w:widowControl w:val="0"/>
        <w:kinsoku/>
        <w:wordWrap/>
        <w:overflowPunct/>
        <w:topLinePunct w:val="0"/>
        <w:autoSpaceDE/>
        <w:autoSpaceDN/>
        <w:bidi w:val="0"/>
        <w:adjustRightInd/>
        <w:snapToGrid/>
        <w:spacing w:line="590" w:lineRule="exact"/>
        <w:ind w:firstLine="0" w:firstLineChars="0"/>
        <w:jc w:val="center"/>
        <w:textAlignment w:val="auto"/>
        <w:rPr>
          <w:rFonts w:eastAsia="黑体"/>
          <w:sz w:val="36"/>
          <w:szCs w:val="44"/>
          <w:highlight w:val="none"/>
        </w:rPr>
      </w:pPr>
      <w:r>
        <w:rPr>
          <w:rFonts w:hint="eastAsia" w:eastAsia="黑体"/>
          <w:sz w:val="36"/>
          <w:szCs w:val="44"/>
          <w:highlight w:val="none"/>
        </w:rPr>
        <w:t>浙江省经济信息中心</w:t>
      </w:r>
    </w:p>
    <w:p>
      <w:pPr>
        <w:keepNext w:val="0"/>
        <w:keepLines w:val="0"/>
        <w:pageBreakBefore w:val="0"/>
        <w:widowControl w:val="0"/>
        <w:kinsoku/>
        <w:wordWrap/>
        <w:overflowPunct/>
        <w:topLinePunct w:val="0"/>
        <w:autoSpaceDE/>
        <w:autoSpaceDN/>
        <w:bidi w:val="0"/>
        <w:adjustRightInd/>
        <w:snapToGrid/>
        <w:spacing w:line="590" w:lineRule="exact"/>
        <w:ind w:firstLine="0" w:firstLineChars="0"/>
        <w:jc w:val="center"/>
        <w:textAlignment w:val="auto"/>
        <w:rPr>
          <w:rFonts w:eastAsia="黑体"/>
          <w:sz w:val="36"/>
          <w:szCs w:val="44"/>
          <w:highlight w:val="none"/>
        </w:rPr>
      </w:pPr>
      <w:r>
        <w:rPr>
          <w:rFonts w:hint="eastAsia" w:eastAsia="黑体"/>
          <w:sz w:val="36"/>
          <w:szCs w:val="44"/>
          <w:highlight w:val="none"/>
        </w:rPr>
        <w:t>202</w:t>
      </w:r>
      <w:r>
        <w:rPr>
          <w:rFonts w:hint="eastAsia" w:eastAsia="黑体"/>
          <w:sz w:val="36"/>
          <w:szCs w:val="44"/>
          <w:highlight w:val="none"/>
          <w:lang w:val="en-US" w:eastAsia="zh-CN"/>
        </w:rPr>
        <w:t>2</w:t>
      </w:r>
      <w:r>
        <w:rPr>
          <w:rFonts w:hint="eastAsia" w:eastAsia="黑体"/>
          <w:sz w:val="36"/>
          <w:szCs w:val="44"/>
          <w:highlight w:val="none"/>
        </w:rPr>
        <w:t>年</w:t>
      </w:r>
      <w:r>
        <w:rPr>
          <w:rFonts w:hint="eastAsia" w:eastAsia="黑体"/>
          <w:sz w:val="36"/>
          <w:szCs w:val="44"/>
          <w:highlight w:val="none"/>
          <w:lang w:val="en-US" w:eastAsia="zh-CN"/>
        </w:rPr>
        <w:t>6</w:t>
      </w:r>
      <w:r>
        <w:rPr>
          <w:rFonts w:hint="eastAsia" w:eastAsia="黑体"/>
          <w:sz w:val="36"/>
          <w:szCs w:val="44"/>
          <w:highlight w:val="none"/>
        </w:rPr>
        <w:t>月</w:t>
      </w:r>
    </w:p>
    <w:p>
      <w:pPr>
        <w:pStyle w:val="31"/>
        <w:jc w:val="center"/>
        <w:rPr>
          <w:rFonts w:ascii="Times New Roman" w:hAnsi="Times New Roman"/>
          <w:highlight w:val="none"/>
          <w:lang w:val="zh-CN"/>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start="1"/>
          <w:cols w:space="425" w:num="1"/>
          <w:titlePg/>
          <w:docGrid w:type="lines" w:linePitch="435" w:charSpace="0"/>
        </w:sectPr>
      </w:pPr>
    </w:p>
    <w:p>
      <w:pPr>
        <w:ind w:firstLine="880"/>
        <w:rPr>
          <w:rFonts w:hint="eastAsia"/>
          <w:sz w:val="44"/>
          <w:highlight w:val="none"/>
        </w:rPr>
        <w:sectPr>
          <w:footerReference r:id="rId11" w:type="default"/>
          <w:type w:val="continuous"/>
          <w:pgSz w:w="11906" w:h="16838"/>
          <w:pgMar w:top="1440" w:right="1800" w:bottom="1440" w:left="1800" w:header="851" w:footer="992" w:gutter="0"/>
          <w:pgNumType w:start="0"/>
          <w:cols w:space="425" w:num="1"/>
          <w:docGrid w:type="lines" w:linePitch="435" w:charSpace="0"/>
        </w:sectPr>
      </w:pPr>
      <w:bookmarkStart w:id="0" w:name="_Toc66354651"/>
      <w:bookmarkStart w:id="1" w:name="_Toc70336021"/>
      <w:bookmarkStart w:id="2" w:name="_Toc16460"/>
      <w:bookmarkStart w:id="3" w:name="_Toc31573"/>
      <w:bookmarkStart w:id="4" w:name="_Toc18549"/>
    </w:p>
    <w:p>
      <w:pPr>
        <w:pStyle w:val="3"/>
        <w:ind w:firstLine="0" w:firstLineChars="0"/>
        <w:jc w:val="center"/>
        <w:rPr>
          <w:rFonts w:hint="eastAsia"/>
          <w:sz w:val="44"/>
          <w:highlight w:val="none"/>
        </w:rPr>
        <w:sectPr>
          <w:footerReference r:id="rId12" w:type="default"/>
          <w:pgSz w:w="11906" w:h="16838"/>
          <w:pgMar w:top="1440" w:right="1800" w:bottom="1440" w:left="1800" w:header="851" w:footer="992" w:gutter="0"/>
          <w:pgNumType w:fmt="decimal" w:start="1"/>
          <w:cols w:space="425" w:num="1"/>
          <w:docGrid w:type="lines" w:linePitch="435" w:charSpace="0"/>
        </w:sectPr>
      </w:pPr>
      <w:bookmarkStart w:id="5" w:name="_Toc21677"/>
      <w:bookmarkStart w:id="6" w:name="_Toc779"/>
    </w:p>
    <w:p>
      <w:pPr>
        <w:pStyle w:val="3"/>
        <w:ind w:firstLine="0" w:firstLineChars="0"/>
        <w:jc w:val="center"/>
        <w:rPr>
          <w:highlight w:val="none"/>
        </w:rPr>
      </w:pPr>
      <w:r>
        <w:rPr>
          <w:rFonts w:hint="eastAsia"/>
          <w:sz w:val="44"/>
          <w:highlight w:val="none"/>
        </w:rPr>
        <w:t>前 言</w:t>
      </w:r>
      <w:bookmarkEnd w:id="0"/>
      <w:bookmarkEnd w:id="1"/>
      <w:bookmarkEnd w:id="2"/>
      <w:bookmarkEnd w:id="3"/>
      <w:bookmarkEnd w:id="4"/>
      <w:bookmarkEnd w:id="5"/>
      <w:bookmarkEnd w:id="6"/>
    </w:p>
    <w:p>
      <w:pPr>
        <w:keepNext w:val="0"/>
        <w:keepLines w:val="0"/>
        <w:pageBreakBefore w:val="0"/>
        <w:widowControl w:val="0"/>
        <w:kinsoku/>
        <w:wordWrap/>
        <w:overflowPunct/>
        <w:topLinePunct w:val="0"/>
        <w:autoSpaceDE w:val="0"/>
        <w:autoSpaceDN w:val="0"/>
        <w:bidi w:val="0"/>
        <w:spacing w:line="560" w:lineRule="exact"/>
        <w:ind w:firstLine="640"/>
        <w:textAlignment w:val="auto"/>
        <w:rPr>
          <w:rFonts w:hint="default" w:eastAsia="仿宋_GB2312" w:cs="Times New Roman"/>
          <w:szCs w:val="32"/>
          <w:highlight w:val="none"/>
          <w:lang w:val="en-US" w:eastAsia="zh-CN"/>
        </w:rPr>
      </w:pPr>
      <w:r>
        <w:rPr>
          <w:rFonts w:hint="eastAsia"/>
          <w:szCs w:val="32"/>
          <w:highlight w:val="none"/>
        </w:rPr>
        <w:t>充电基础设施是新型的城市基础设施，是发展新能源汽车产业的重要保障，也是新基建的重要方向之一。</w:t>
      </w:r>
      <w:r>
        <w:rPr>
          <w:rFonts w:hint="eastAsia"/>
          <w:szCs w:val="32"/>
          <w:highlight w:val="none"/>
          <w:lang w:eastAsia="zh-CN"/>
        </w:rPr>
        <w:t>在</w:t>
      </w:r>
      <w:r>
        <w:rPr>
          <w:rFonts w:hint="eastAsia"/>
          <w:szCs w:val="32"/>
          <w:highlight w:val="none"/>
        </w:rPr>
        <w:t>碳达峰碳中和</w:t>
      </w:r>
      <w:r>
        <w:rPr>
          <w:rFonts w:hint="eastAsia"/>
          <w:szCs w:val="32"/>
          <w:highlight w:val="none"/>
          <w:lang w:eastAsia="zh-CN"/>
        </w:rPr>
        <w:t>背景下</w:t>
      </w:r>
      <w:r>
        <w:rPr>
          <w:rFonts w:hint="eastAsia"/>
          <w:szCs w:val="32"/>
          <w:highlight w:val="none"/>
        </w:rPr>
        <w:t>，</w:t>
      </w:r>
      <w:r>
        <w:rPr>
          <w:rFonts w:hint="eastAsia" w:cs="Times New Roman"/>
          <w:szCs w:val="32"/>
          <w:highlight w:val="none"/>
        </w:rPr>
        <w:t>大力推进充电基础设施建设，有利于解决新能源汽车充电难题，培育良好的新能源汽车应用</w:t>
      </w:r>
      <w:r>
        <w:rPr>
          <w:rFonts w:hint="eastAsia" w:cs="Times New Roman"/>
          <w:szCs w:val="32"/>
          <w:highlight w:val="none"/>
          <w:lang w:eastAsia="zh-CN"/>
        </w:rPr>
        <w:t>环境</w:t>
      </w:r>
      <w:r>
        <w:rPr>
          <w:rFonts w:hint="eastAsia" w:cs="Times New Roman"/>
          <w:szCs w:val="32"/>
          <w:highlight w:val="none"/>
        </w:rPr>
        <w:t>。</w:t>
      </w:r>
      <w:r>
        <w:rPr>
          <w:rFonts w:hint="eastAsia"/>
          <w:szCs w:val="32"/>
          <w:highlight w:val="none"/>
        </w:rPr>
        <w:t>“十四五”时期是</w:t>
      </w:r>
      <w:r>
        <w:rPr>
          <w:rFonts w:hint="eastAsia" w:cs="Times New Roman"/>
          <w:szCs w:val="32"/>
          <w:highlight w:val="none"/>
          <w:lang w:val="en-US" w:eastAsia="zh-CN"/>
        </w:rPr>
        <w:t>义乌</w:t>
      </w:r>
      <w:r>
        <w:rPr>
          <w:szCs w:val="32"/>
          <w:highlight w:val="none"/>
        </w:rPr>
        <w:t>推进交通运输领域尽早实现</w:t>
      </w:r>
      <w:r>
        <w:rPr>
          <w:rFonts w:hint="eastAsia"/>
          <w:szCs w:val="32"/>
          <w:highlight w:val="none"/>
        </w:rPr>
        <w:t>碳达峰，</w:t>
      </w:r>
      <w:r>
        <w:rPr>
          <w:szCs w:val="32"/>
          <w:highlight w:val="none"/>
        </w:rPr>
        <w:t>促进交通运输全面绿色低碳转型</w:t>
      </w:r>
      <w:r>
        <w:rPr>
          <w:rFonts w:hint="eastAsia"/>
          <w:szCs w:val="32"/>
          <w:highlight w:val="none"/>
        </w:rPr>
        <w:t>的重要时期</w:t>
      </w:r>
      <w:r>
        <w:rPr>
          <w:rFonts w:hint="eastAsia" w:cs="Times New Roman"/>
          <w:szCs w:val="32"/>
          <w:highlight w:val="none"/>
        </w:rPr>
        <w:t>。</w:t>
      </w:r>
      <w:r>
        <w:rPr>
          <w:rFonts w:cs="Times New Roman"/>
          <w:snapToGrid w:val="0"/>
          <w:szCs w:val="32"/>
          <w:highlight w:val="none"/>
        </w:rPr>
        <w:t>为加</w:t>
      </w:r>
      <w:r>
        <w:rPr>
          <w:rFonts w:hint="eastAsia" w:cs="Times New Roman"/>
          <w:snapToGrid w:val="0"/>
          <w:szCs w:val="32"/>
          <w:highlight w:val="none"/>
          <w:lang w:val="en-US" w:eastAsia="zh-CN"/>
        </w:rPr>
        <w:t>大</w:t>
      </w:r>
      <w:r>
        <w:rPr>
          <w:rFonts w:hint="eastAsia" w:cs="Times New Roman"/>
          <w:snapToGrid w:val="0"/>
          <w:szCs w:val="32"/>
          <w:highlight w:val="none"/>
        </w:rPr>
        <w:t>义乌</w:t>
      </w:r>
      <w:r>
        <w:rPr>
          <w:rFonts w:cs="Times New Roman"/>
          <w:snapToGrid w:val="0"/>
          <w:szCs w:val="32"/>
          <w:highlight w:val="none"/>
        </w:rPr>
        <w:t>充电基础设施建设力度，确保充电基础设施布点符合用地、电力负荷、安全等方面的要求</w:t>
      </w:r>
      <w:r>
        <w:rPr>
          <w:rFonts w:hint="eastAsia" w:cs="Times New Roman"/>
          <w:snapToGrid w:val="0"/>
          <w:szCs w:val="32"/>
          <w:highlight w:val="none"/>
          <w:lang w:eastAsia="zh-CN"/>
        </w:rPr>
        <w:t>，</w:t>
      </w:r>
      <w:r>
        <w:rPr>
          <w:rFonts w:hint="eastAsia" w:cs="Times New Roman"/>
          <w:snapToGrid w:val="0"/>
          <w:szCs w:val="32"/>
          <w:highlight w:val="none"/>
          <w:lang w:val="en-US" w:eastAsia="zh-CN"/>
        </w:rPr>
        <w:t>特编制本规划。</w:t>
      </w:r>
    </w:p>
    <w:p>
      <w:pPr>
        <w:keepNext w:val="0"/>
        <w:keepLines w:val="0"/>
        <w:pageBreakBefore w:val="0"/>
        <w:widowControl w:val="0"/>
        <w:kinsoku/>
        <w:wordWrap/>
        <w:overflowPunct/>
        <w:topLinePunct w:val="0"/>
        <w:autoSpaceDE w:val="0"/>
        <w:autoSpaceDN w:val="0"/>
        <w:bidi w:val="0"/>
        <w:spacing w:line="560" w:lineRule="exact"/>
        <w:ind w:firstLine="640"/>
        <w:textAlignment w:val="auto"/>
        <w:rPr>
          <w:rFonts w:hint="eastAsia" w:cs="Times New Roman"/>
          <w:snapToGrid w:val="0"/>
          <w:szCs w:val="32"/>
          <w:highlight w:val="none"/>
        </w:rPr>
      </w:pPr>
      <w:r>
        <w:rPr>
          <w:rFonts w:hint="eastAsia"/>
          <w:sz w:val="32"/>
          <w:szCs w:val="28"/>
          <w:lang w:val="en-US" w:eastAsia="zh-CN"/>
        </w:rPr>
        <w:t>本规划主要编制依据包括：</w:t>
      </w:r>
      <w:r>
        <w:rPr>
          <w:rFonts w:hint="eastAsia" w:cs="Times New Roman"/>
          <w:szCs w:val="32"/>
          <w:highlight w:val="none"/>
        </w:rPr>
        <w:t>《新能源汽车产业发展规划（2021年-2035年）》(国办发〔2020〕39号)《浙江省新型机车实施建设三年行动计划（2020-2022年）》</w:t>
      </w:r>
      <w:r>
        <w:rPr>
          <w:rFonts w:hint="eastAsia" w:cs="Times New Roman"/>
          <w:szCs w:val="32"/>
          <w:highlight w:val="none"/>
          <w:lang w:eastAsia="zh-CN"/>
        </w:rPr>
        <w:t>（</w:t>
      </w:r>
      <w:r>
        <w:rPr>
          <w:rFonts w:hint="eastAsia" w:cs="Times New Roman"/>
          <w:szCs w:val="32"/>
          <w:highlight w:val="none"/>
        </w:rPr>
        <w:t>浙政办发〔2020〕32号</w:t>
      </w:r>
      <w:r>
        <w:rPr>
          <w:rFonts w:hint="eastAsia" w:cs="Times New Roman"/>
          <w:szCs w:val="32"/>
          <w:highlight w:val="none"/>
          <w:lang w:eastAsia="zh-CN"/>
        </w:rPr>
        <w:t>）</w:t>
      </w:r>
      <w:r>
        <w:rPr>
          <w:rFonts w:hint="eastAsia" w:cs="Times New Roman"/>
          <w:szCs w:val="32"/>
          <w:highlight w:val="none"/>
          <w:lang w:val="en-US" w:eastAsia="zh-CN"/>
        </w:rPr>
        <w:t>和</w:t>
      </w:r>
      <w:r>
        <w:rPr>
          <w:rFonts w:hint="eastAsia" w:cs="Times New Roman"/>
          <w:szCs w:val="32"/>
          <w:highlight w:val="none"/>
        </w:rPr>
        <w:t>《浙江省“十四五”充电基础设施建设规划》（</w:t>
      </w:r>
      <w:r>
        <w:rPr>
          <w:rFonts w:hint="eastAsia" w:cs="Times New Roman"/>
          <w:szCs w:val="32"/>
          <w:highlight w:val="none"/>
          <w:lang w:eastAsia="zh-CN"/>
        </w:rPr>
        <w:t>浙能源</w:t>
      </w:r>
      <w:r>
        <w:rPr>
          <w:rFonts w:hint="default" w:ascii="Times New Roman" w:hAnsi="Times New Roman" w:cs="Times New Roman"/>
          <w:szCs w:val="32"/>
        </w:rPr>
        <w:t>〔20</w:t>
      </w:r>
      <w:r>
        <w:rPr>
          <w:rFonts w:hint="eastAsia" w:ascii="Times New Roman" w:hAnsi="Times New Roman" w:cs="Times New Roman"/>
          <w:szCs w:val="32"/>
          <w:lang w:val="en-US" w:eastAsia="zh-CN"/>
        </w:rPr>
        <w:t>21</w:t>
      </w:r>
      <w:r>
        <w:rPr>
          <w:rFonts w:hint="default" w:ascii="Times New Roman" w:hAnsi="Times New Roman" w:cs="Times New Roman"/>
          <w:szCs w:val="32"/>
        </w:rPr>
        <w:t>〕</w:t>
      </w:r>
      <w:r>
        <w:rPr>
          <w:rFonts w:hint="eastAsia" w:cs="Times New Roman"/>
          <w:szCs w:val="32"/>
          <w:highlight w:val="none"/>
          <w:lang w:val="en-US" w:eastAsia="zh-CN"/>
        </w:rPr>
        <w:t>6号</w:t>
      </w:r>
      <w:r>
        <w:rPr>
          <w:rFonts w:hint="eastAsia" w:cs="Times New Roman"/>
          <w:szCs w:val="32"/>
          <w:highlight w:val="none"/>
        </w:rPr>
        <w:t>）等</w:t>
      </w:r>
      <w:r>
        <w:rPr>
          <w:rFonts w:hint="eastAsia" w:cs="Times New Roman"/>
          <w:szCs w:val="32"/>
          <w:highlight w:val="none"/>
          <w:lang w:val="en-US" w:eastAsia="zh-CN"/>
        </w:rPr>
        <w:t>相关规划</w:t>
      </w:r>
      <w:r>
        <w:rPr>
          <w:rFonts w:hint="eastAsia" w:cs="Times New Roman"/>
          <w:snapToGrid w:val="0"/>
          <w:szCs w:val="32"/>
          <w:highlight w:val="none"/>
        </w:rPr>
        <w:t>。</w:t>
      </w:r>
    </w:p>
    <w:p>
      <w:pPr>
        <w:keepNext w:val="0"/>
        <w:keepLines w:val="0"/>
        <w:pageBreakBefore w:val="0"/>
        <w:widowControl w:val="0"/>
        <w:kinsoku/>
        <w:wordWrap/>
        <w:overflowPunct/>
        <w:topLinePunct w:val="0"/>
        <w:autoSpaceDE w:val="0"/>
        <w:autoSpaceDN w:val="0"/>
        <w:bidi w:val="0"/>
        <w:spacing w:line="560" w:lineRule="exact"/>
        <w:ind w:firstLine="640"/>
        <w:textAlignment w:val="auto"/>
        <w:rPr>
          <w:rFonts w:cs="Times New Roman"/>
          <w:snapToGrid w:val="0"/>
          <w:szCs w:val="32"/>
          <w:highlight w:val="none"/>
        </w:rPr>
      </w:pPr>
      <w:r>
        <w:rPr>
          <w:rFonts w:cs="Times New Roman"/>
          <w:snapToGrid w:val="0"/>
          <w:szCs w:val="32"/>
          <w:highlight w:val="none"/>
        </w:rPr>
        <w:t>规划年限为20</w:t>
      </w:r>
      <w:r>
        <w:rPr>
          <w:rFonts w:hint="eastAsia" w:cs="Times New Roman"/>
          <w:snapToGrid w:val="0"/>
          <w:szCs w:val="32"/>
          <w:highlight w:val="none"/>
        </w:rPr>
        <w:t>21</w:t>
      </w:r>
      <w:r>
        <w:rPr>
          <w:rFonts w:cs="Times New Roman"/>
          <w:snapToGrid w:val="0"/>
          <w:szCs w:val="32"/>
          <w:highlight w:val="none"/>
        </w:rPr>
        <w:t>年—202</w:t>
      </w:r>
      <w:r>
        <w:rPr>
          <w:rFonts w:hint="eastAsia" w:cs="Times New Roman"/>
          <w:snapToGrid w:val="0"/>
          <w:szCs w:val="32"/>
          <w:highlight w:val="none"/>
        </w:rPr>
        <w:t>5</w:t>
      </w:r>
      <w:r>
        <w:rPr>
          <w:rFonts w:cs="Times New Roman"/>
          <w:snapToGrid w:val="0"/>
          <w:szCs w:val="32"/>
          <w:highlight w:val="none"/>
        </w:rPr>
        <w:t>年，规划范围为</w:t>
      </w:r>
      <w:r>
        <w:rPr>
          <w:rFonts w:hint="eastAsia" w:cs="Times New Roman"/>
          <w:snapToGrid w:val="0"/>
          <w:szCs w:val="32"/>
          <w:highlight w:val="none"/>
        </w:rPr>
        <w:t>义乌市域总面积</w:t>
      </w:r>
      <w:r>
        <w:rPr>
          <w:rFonts w:hint="eastAsia"/>
          <w:highlight w:val="none"/>
        </w:rPr>
        <w:t>1105平方公里，8个街道、6个镇、454个行政村、94个社区</w:t>
      </w:r>
      <w:r>
        <w:rPr>
          <w:rFonts w:cs="Times New Roman"/>
          <w:snapToGrid w:val="0"/>
          <w:szCs w:val="32"/>
          <w:highlight w:val="none"/>
        </w:rPr>
        <w:t>的充电基础设施进行详细布点规划。</w:t>
      </w:r>
    </w:p>
    <w:p>
      <w:pPr>
        <w:spacing w:line="590" w:lineRule="exact"/>
        <w:ind w:firstLine="880"/>
        <w:jc w:val="center"/>
        <w:rPr>
          <w:rFonts w:eastAsia="方正小标宋简体"/>
          <w:sz w:val="44"/>
          <w:szCs w:val="44"/>
          <w:highlight w:val="none"/>
        </w:rPr>
      </w:pPr>
    </w:p>
    <w:p>
      <w:pPr>
        <w:spacing w:line="240" w:lineRule="auto"/>
        <w:ind w:firstLine="0" w:firstLineChars="0"/>
        <w:jc w:val="center"/>
        <w:rPr>
          <w:highlight w:val="none"/>
        </w:rPr>
        <w:sectPr>
          <w:pgSz w:w="11906" w:h="16838"/>
          <w:pgMar w:top="1440" w:right="1800" w:bottom="1440" w:left="1800" w:header="851" w:footer="992" w:gutter="0"/>
          <w:pgNumType w:fmt="decimal" w:start="1"/>
          <w:cols w:space="425" w:num="1"/>
          <w:docGrid w:type="lines" w:linePitch="435" w:charSpace="0"/>
        </w:sectPr>
      </w:pPr>
    </w:p>
    <w:p>
      <w:pPr>
        <w:spacing w:line="240" w:lineRule="auto"/>
        <w:ind w:firstLine="0" w:firstLineChars="0"/>
        <w:jc w:val="center"/>
        <w:rPr>
          <w:rFonts w:hint="eastAsia" w:eastAsia="黑体" w:cs="黑体"/>
          <w:sz w:val="44"/>
          <w:szCs w:val="44"/>
          <w:highlight w:val="none"/>
        </w:rPr>
        <w:sectPr>
          <w:footerReference r:id="rId13" w:type="default"/>
          <w:pgSz w:w="11906" w:h="16838"/>
          <w:pgMar w:top="1440" w:right="1797" w:bottom="1440" w:left="1797" w:header="851" w:footer="992" w:gutter="0"/>
          <w:pgNumType w:fmt="decimal" w:start="1"/>
          <w:cols w:space="425" w:num="1"/>
          <w:docGrid w:type="linesAndChars" w:linePitch="435" w:charSpace="0"/>
        </w:sectPr>
      </w:pPr>
    </w:p>
    <w:p>
      <w:pPr>
        <w:spacing w:line="240" w:lineRule="auto"/>
        <w:ind w:firstLine="0" w:firstLineChars="0"/>
        <w:jc w:val="center"/>
        <w:rPr>
          <w:highlight w:val="none"/>
        </w:rPr>
      </w:pPr>
      <w:r>
        <w:rPr>
          <w:rFonts w:hint="eastAsia" w:eastAsia="黑体" w:cs="黑体"/>
          <w:sz w:val="44"/>
          <w:szCs w:val="44"/>
          <w:highlight w:val="none"/>
        </w:rPr>
        <w:t>目 录</w:t>
      </w:r>
    </w:p>
    <w:p>
      <w:pPr>
        <w:pStyle w:val="11"/>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TOC \o "1-3" \h \u </w:instrText>
      </w:r>
      <w:r>
        <w:rPr>
          <w:rFonts w:cs="Times New Roman"/>
          <w:highlight w:val="none"/>
        </w:rPr>
        <w:fldChar w:fldCharType="separate"/>
      </w:r>
      <w:r>
        <w:rPr>
          <w:rFonts w:cs="Times New Roman"/>
          <w:highlight w:val="none"/>
        </w:rPr>
        <w:fldChar w:fldCharType="begin"/>
      </w:r>
      <w:r>
        <w:rPr>
          <w:rFonts w:cs="Times New Roman"/>
          <w:highlight w:val="none"/>
        </w:rPr>
        <w:instrText xml:space="preserve"> HYPERLINK \l _Toc27307 </w:instrText>
      </w:r>
      <w:r>
        <w:rPr>
          <w:rFonts w:cs="Times New Roman"/>
          <w:highlight w:val="none"/>
        </w:rPr>
        <w:fldChar w:fldCharType="separate"/>
      </w:r>
      <w:r>
        <w:rPr>
          <w:rFonts w:hint="eastAsia"/>
        </w:rPr>
        <w:t>一、电动汽车及充电基础设施发展基础</w:t>
      </w:r>
      <w:r>
        <w:tab/>
      </w:r>
      <w:r>
        <w:fldChar w:fldCharType="begin"/>
      </w:r>
      <w:r>
        <w:instrText xml:space="preserve"> PAGEREF _Toc27307 </w:instrText>
      </w:r>
      <w:r>
        <w:fldChar w:fldCharType="separate"/>
      </w:r>
      <w:r>
        <w:t>1</w:t>
      </w:r>
      <w:r>
        <w:fldChar w:fldCharType="end"/>
      </w:r>
      <w:r>
        <w:rPr>
          <w:rFonts w:cs="Times New Roman"/>
          <w:highlight w:val="none"/>
        </w:rPr>
        <w:fldChar w:fldCharType="end"/>
      </w:r>
    </w:p>
    <w:p>
      <w:pPr>
        <w:pStyle w:val="13"/>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_Toc24497 </w:instrText>
      </w:r>
      <w:r>
        <w:rPr>
          <w:rFonts w:cs="Times New Roman"/>
          <w:highlight w:val="none"/>
        </w:rPr>
        <w:fldChar w:fldCharType="separate"/>
      </w:r>
      <w:r>
        <w:rPr>
          <w:rFonts w:hint="eastAsia" w:ascii="Times New Roman" w:hAnsi="Times New Roman"/>
          <w:highlight w:val="none"/>
        </w:rPr>
        <w:t>（一）发展现状</w:t>
      </w:r>
      <w:r>
        <w:tab/>
      </w:r>
      <w:r>
        <w:fldChar w:fldCharType="begin"/>
      </w:r>
      <w:r>
        <w:instrText xml:space="preserve"> PAGEREF _Toc24497 </w:instrText>
      </w:r>
      <w:r>
        <w:fldChar w:fldCharType="separate"/>
      </w:r>
      <w:r>
        <w:t>1</w:t>
      </w:r>
      <w:r>
        <w:fldChar w:fldCharType="end"/>
      </w:r>
      <w:r>
        <w:rPr>
          <w:rFonts w:cs="Times New Roman"/>
          <w:highlight w:val="none"/>
        </w:rPr>
        <w:fldChar w:fldCharType="end"/>
      </w:r>
    </w:p>
    <w:p>
      <w:pPr>
        <w:pStyle w:val="13"/>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_Toc9889 </w:instrText>
      </w:r>
      <w:r>
        <w:rPr>
          <w:rFonts w:cs="Times New Roman"/>
          <w:highlight w:val="none"/>
        </w:rPr>
        <w:fldChar w:fldCharType="separate"/>
      </w:r>
      <w:r>
        <w:rPr>
          <w:rFonts w:hint="eastAsia" w:ascii="Times New Roman" w:hAnsi="Times New Roman"/>
          <w:highlight w:val="none"/>
        </w:rPr>
        <w:t>（二）问题与挑战</w:t>
      </w:r>
      <w:r>
        <w:tab/>
      </w:r>
      <w:r>
        <w:fldChar w:fldCharType="begin"/>
      </w:r>
      <w:r>
        <w:instrText xml:space="preserve"> PAGEREF _Toc9889 </w:instrText>
      </w:r>
      <w:r>
        <w:fldChar w:fldCharType="separate"/>
      </w:r>
      <w:r>
        <w:t>9</w:t>
      </w:r>
      <w:r>
        <w:fldChar w:fldCharType="end"/>
      </w:r>
      <w:r>
        <w:rPr>
          <w:rFonts w:cs="Times New Roman"/>
          <w:highlight w:val="none"/>
        </w:rPr>
        <w:fldChar w:fldCharType="end"/>
      </w:r>
    </w:p>
    <w:p>
      <w:pPr>
        <w:pStyle w:val="13"/>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_Toc17659 </w:instrText>
      </w:r>
      <w:r>
        <w:rPr>
          <w:rFonts w:cs="Times New Roman"/>
          <w:highlight w:val="none"/>
        </w:rPr>
        <w:fldChar w:fldCharType="separate"/>
      </w:r>
      <w:r>
        <w:rPr>
          <w:rFonts w:hint="eastAsia" w:ascii="Times New Roman" w:hAnsi="Times New Roman"/>
          <w:highlight w:val="none"/>
        </w:rPr>
        <w:t>（三）面临</w:t>
      </w:r>
      <w:r>
        <w:rPr>
          <w:rFonts w:ascii="Times New Roman" w:hAnsi="Times New Roman"/>
          <w:highlight w:val="none"/>
        </w:rPr>
        <w:t>形势</w:t>
      </w:r>
      <w:r>
        <w:tab/>
      </w:r>
      <w:r>
        <w:fldChar w:fldCharType="begin"/>
      </w:r>
      <w:r>
        <w:instrText xml:space="preserve"> PAGEREF _Toc17659 </w:instrText>
      </w:r>
      <w:r>
        <w:fldChar w:fldCharType="separate"/>
      </w:r>
      <w:r>
        <w:t>11</w:t>
      </w:r>
      <w:r>
        <w:fldChar w:fldCharType="end"/>
      </w:r>
      <w:r>
        <w:rPr>
          <w:rFonts w:cs="Times New Roman"/>
          <w:highlight w:val="none"/>
        </w:rPr>
        <w:fldChar w:fldCharType="end"/>
      </w:r>
    </w:p>
    <w:p>
      <w:pPr>
        <w:pStyle w:val="11"/>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_Toc3423 </w:instrText>
      </w:r>
      <w:r>
        <w:rPr>
          <w:rFonts w:cs="Times New Roman"/>
          <w:highlight w:val="none"/>
        </w:rPr>
        <w:fldChar w:fldCharType="separate"/>
      </w:r>
      <w:r>
        <w:rPr>
          <w:rFonts w:hint="eastAsia"/>
          <w:highlight w:val="none"/>
        </w:rPr>
        <w:t>二、总体要求</w:t>
      </w:r>
      <w:r>
        <w:tab/>
      </w:r>
      <w:r>
        <w:fldChar w:fldCharType="begin"/>
      </w:r>
      <w:r>
        <w:instrText xml:space="preserve"> PAGEREF _Toc3423 </w:instrText>
      </w:r>
      <w:r>
        <w:fldChar w:fldCharType="separate"/>
      </w:r>
      <w:r>
        <w:t>14</w:t>
      </w:r>
      <w:r>
        <w:fldChar w:fldCharType="end"/>
      </w:r>
      <w:r>
        <w:rPr>
          <w:rFonts w:cs="Times New Roman"/>
          <w:highlight w:val="none"/>
        </w:rPr>
        <w:fldChar w:fldCharType="end"/>
      </w:r>
    </w:p>
    <w:p>
      <w:pPr>
        <w:pStyle w:val="13"/>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_Toc5260 </w:instrText>
      </w:r>
      <w:r>
        <w:rPr>
          <w:rFonts w:cs="Times New Roman"/>
          <w:highlight w:val="none"/>
        </w:rPr>
        <w:fldChar w:fldCharType="separate"/>
      </w:r>
      <w:r>
        <w:rPr>
          <w:rFonts w:hint="eastAsia" w:ascii="Times New Roman" w:hAnsi="Times New Roman"/>
          <w:highlight w:val="none"/>
        </w:rPr>
        <w:t>（一）指导思想</w:t>
      </w:r>
      <w:r>
        <w:tab/>
      </w:r>
      <w:r>
        <w:fldChar w:fldCharType="begin"/>
      </w:r>
      <w:r>
        <w:instrText xml:space="preserve"> PAGEREF _Toc5260 </w:instrText>
      </w:r>
      <w:r>
        <w:fldChar w:fldCharType="separate"/>
      </w:r>
      <w:r>
        <w:t>14</w:t>
      </w:r>
      <w:r>
        <w:fldChar w:fldCharType="end"/>
      </w:r>
      <w:r>
        <w:rPr>
          <w:rFonts w:cs="Times New Roman"/>
          <w:highlight w:val="none"/>
        </w:rPr>
        <w:fldChar w:fldCharType="end"/>
      </w:r>
    </w:p>
    <w:p>
      <w:pPr>
        <w:pStyle w:val="13"/>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_Toc15854 </w:instrText>
      </w:r>
      <w:r>
        <w:rPr>
          <w:rFonts w:cs="Times New Roman"/>
          <w:highlight w:val="none"/>
        </w:rPr>
        <w:fldChar w:fldCharType="separate"/>
      </w:r>
      <w:r>
        <w:rPr>
          <w:rFonts w:hint="eastAsia" w:ascii="Times New Roman" w:hAnsi="Times New Roman"/>
          <w:highlight w:val="none"/>
        </w:rPr>
        <w:t>（二）基本原则</w:t>
      </w:r>
      <w:r>
        <w:tab/>
      </w:r>
      <w:r>
        <w:fldChar w:fldCharType="begin"/>
      </w:r>
      <w:r>
        <w:instrText xml:space="preserve"> PAGEREF _Toc15854 </w:instrText>
      </w:r>
      <w:r>
        <w:fldChar w:fldCharType="separate"/>
      </w:r>
      <w:r>
        <w:t>14</w:t>
      </w:r>
      <w:r>
        <w:fldChar w:fldCharType="end"/>
      </w:r>
      <w:r>
        <w:rPr>
          <w:rFonts w:cs="Times New Roman"/>
          <w:highlight w:val="none"/>
        </w:rPr>
        <w:fldChar w:fldCharType="end"/>
      </w:r>
    </w:p>
    <w:p>
      <w:pPr>
        <w:pStyle w:val="11"/>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_Toc9528 </w:instrText>
      </w:r>
      <w:r>
        <w:rPr>
          <w:rFonts w:cs="Times New Roman"/>
          <w:highlight w:val="none"/>
        </w:rPr>
        <w:fldChar w:fldCharType="separate"/>
      </w:r>
      <w:r>
        <w:rPr>
          <w:rFonts w:hint="eastAsia"/>
          <w:highlight w:val="none"/>
        </w:rPr>
        <w:t>三、发展目标</w:t>
      </w:r>
      <w:r>
        <w:tab/>
      </w:r>
      <w:r>
        <w:fldChar w:fldCharType="begin"/>
      </w:r>
      <w:r>
        <w:instrText xml:space="preserve"> PAGEREF _Toc9528 </w:instrText>
      </w:r>
      <w:r>
        <w:fldChar w:fldCharType="separate"/>
      </w:r>
      <w:r>
        <w:t>15</w:t>
      </w:r>
      <w:r>
        <w:fldChar w:fldCharType="end"/>
      </w:r>
      <w:r>
        <w:rPr>
          <w:rFonts w:cs="Times New Roman"/>
          <w:highlight w:val="none"/>
        </w:rPr>
        <w:fldChar w:fldCharType="end"/>
      </w:r>
    </w:p>
    <w:p>
      <w:pPr>
        <w:pStyle w:val="13"/>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_Toc9336 </w:instrText>
      </w:r>
      <w:r>
        <w:rPr>
          <w:rFonts w:cs="Times New Roman"/>
          <w:highlight w:val="none"/>
        </w:rPr>
        <w:fldChar w:fldCharType="separate"/>
      </w:r>
      <w:r>
        <w:rPr>
          <w:rFonts w:hint="eastAsia" w:ascii="Times New Roman" w:hAnsi="Times New Roman"/>
          <w:highlight w:val="none"/>
        </w:rPr>
        <w:t>（一）整体目标</w:t>
      </w:r>
      <w:r>
        <w:tab/>
      </w:r>
      <w:r>
        <w:fldChar w:fldCharType="begin"/>
      </w:r>
      <w:r>
        <w:instrText xml:space="preserve"> PAGEREF _Toc9336 </w:instrText>
      </w:r>
      <w:r>
        <w:fldChar w:fldCharType="separate"/>
      </w:r>
      <w:r>
        <w:t>15</w:t>
      </w:r>
      <w:r>
        <w:fldChar w:fldCharType="end"/>
      </w:r>
      <w:r>
        <w:rPr>
          <w:rFonts w:cs="Times New Roman"/>
          <w:highlight w:val="none"/>
        </w:rPr>
        <w:fldChar w:fldCharType="end"/>
      </w:r>
    </w:p>
    <w:p>
      <w:pPr>
        <w:pStyle w:val="13"/>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_Toc10513 </w:instrText>
      </w:r>
      <w:r>
        <w:rPr>
          <w:rFonts w:cs="Times New Roman"/>
          <w:highlight w:val="none"/>
        </w:rPr>
        <w:fldChar w:fldCharType="separate"/>
      </w:r>
      <w:r>
        <w:rPr>
          <w:rFonts w:hint="eastAsia" w:ascii="Times New Roman" w:hAnsi="Times New Roman"/>
          <w:highlight w:val="none"/>
        </w:rPr>
        <w:t>（二）分领域发展目标</w:t>
      </w:r>
      <w:r>
        <w:tab/>
      </w:r>
      <w:r>
        <w:fldChar w:fldCharType="begin"/>
      </w:r>
      <w:r>
        <w:instrText xml:space="preserve"> PAGEREF _Toc10513 </w:instrText>
      </w:r>
      <w:r>
        <w:fldChar w:fldCharType="separate"/>
      </w:r>
      <w:r>
        <w:t>16</w:t>
      </w:r>
      <w:r>
        <w:fldChar w:fldCharType="end"/>
      </w:r>
      <w:r>
        <w:rPr>
          <w:rFonts w:cs="Times New Roman"/>
          <w:highlight w:val="none"/>
        </w:rPr>
        <w:fldChar w:fldCharType="end"/>
      </w:r>
    </w:p>
    <w:p>
      <w:pPr>
        <w:pStyle w:val="13"/>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_Toc17529 </w:instrText>
      </w:r>
      <w:r>
        <w:rPr>
          <w:rFonts w:cs="Times New Roman"/>
          <w:highlight w:val="none"/>
        </w:rPr>
        <w:fldChar w:fldCharType="separate"/>
      </w:r>
      <w:r>
        <w:rPr>
          <w:rFonts w:hint="eastAsia" w:ascii="Times New Roman" w:hAnsi="Times New Roman"/>
          <w:highlight w:val="none"/>
        </w:rPr>
        <w:t>（三）分区域发展目标</w:t>
      </w:r>
      <w:r>
        <w:tab/>
      </w:r>
      <w:r>
        <w:fldChar w:fldCharType="begin"/>
      </w:r>
      <w:r>
        <w:instrText xml:space="preserve"> PAGEREF _Toc17529 </w:instrText>
      </w:r>
      <w:r>
        <w:fldChar w:fldCharType="separate"/>
      </w:r>
      <w:r>
        <w:t>17</w:t>
      </w:r>
      <w:r>
        <w:fldChar w:fldCharType="end"/>
      </w:r>
      <w:r>
        <w:rPr>
          <w:rFonts w:cs="Times New Roman"/>
          <w:highlight w:val="none"/>
        </w:rPr>
        <w:fldChar w:fldCharType="end"/>
      </w:r>
    </w:p>
    <w:p>
      <w:pPr>
        <w:pStyle w:val="11"/>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_Toc18821 </w:instrText>
      </w:r>
      <w:r>
        <w:rPr>
          <w:rFonts w:cs="Times New Roman"/>
          <w:highlight w:val="none"/>
        </w:rPr>
        <w:fldChar w:fldCharType="separate"/>
      </w:r>
      <w:r>
        <w:rPr>
          <w:rFonts w:hint="eastAsia"/>
          <w:highlight w:val="none"/>
        </w:rPr>
        <w:t>四、主要任务</w:t>
      </w:r>
      <w:r>
        <w:tab/>
      </w:r>
      <w:r>
        <w:fldChar w:fldCharType="begin"/>
      </w:r>
      <w:r>
        <w:instrText xml:space="preserve"> PAGEREF _Toc18821 </w:instrText>
      </w:r>
      <w:r>
        <w:fldChar w:fldCharType="separate"/>
      </w:r>
      <w:r>
        <w:t>20</w:t>
      </w:r>
      <w:r>
        <w:fldChar w:fldCharType="end"/>
      </w:r>
      <w:r>
        <w:rPr>
          <w:rFonts w:cs="Times New Roman"/>
          <w:highlight w:val="none"/>
        </w:rPr>
        <w:fldChar w:fldCharType="end"/>
      </w:r>
    </w:p>
    <w:p>
      <w:pPr>
        <w:pStyle w:val="13"/>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_Toc23720 </w:instrText>
      </w:r>
      <w:r>
        <w:rPr>
          <w:rFonts w:cs="Times New Roman"/>
          <w:highlight w:val="none"/>
        </w:rPr>
        <w:fldChar w:fldCharType="separate"/>
      </w:r>
      <w:r>
        <w:rPr>
          <w:rFonts w:hint="eastAsia" w:ascii="Times New Roman" w:hAnsi="Times New Roman"/>
          <w:highlight w:val="none"/>
        </w:rPr>
        <w:t>（一）统筹充电基础设施布局</w:t>
      </w:r>
      <w:r>
        <w:tab/>
      </w:r>
      <w:r>
        <w:fldChar w:fldCharType="begin"/>
      </w:r>
      <w:r>
        <w:instrText xml:space="preserve"> PAGEREF _Toc23720 </w:instrText>
      </w:r>
      <w:r>
        <w:fldChar w:fldCharType="separate"/>
      </w:r>
      <w:r>
        <w:t>20</w:t>
      </w:r>
      <w:r>
        <w:fldChar w:fldCharType="end"/>
      </w:r>
      <w:r>
        <w:rPr>
          <w:rFonts w:cs="Times New Roman"/>
          <w:highlight w:val="none"/>
        </w:rPr>
        <w:fldChar w:fldCharType="end"/>
      </w:r>
    </w:p>
    <w:p>
      <w:pPr>
        <w:pStyle w:val="13"/>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_Toc23307 </w:instrText>
      </w:r>
      <w:r>
        <w:rPr>
          <w:rFonts w:cs="Times New Roman"/>
          <w:highlight w:val="none"/>
        </w:rPr>
        <w:fldChar w:fldCharType="separate"/>
      </w:r>
      <w:r>
        <w:rPr>
          <w:rFonts w:hint="eastAsia" w:ascii="Times New Roman" w:hAnsi="Times New Roman"/>
          <w:highlight w:val="none"/>
        </w:rPr>
        <w:t>（二）建立健全智能服务平台</w:t>
      </w:r>
      <w:r>
        <w:tab/>
      </w:r>
      <w:r>
        <w:fldChar w:fldCharType="begin"/>
      </w:r>
      <w:r>
        <w:instrText xml:space="preserve"> PAGEREF _Toc23307 </w:instrText>
      </w:r>
      <w:r>
        <w:fldChar w:fldCharType="separate"/>
      </w:r>
      <w:r>
        <w:t>24</w:t>
      </w:r>
      <w:r>
        <w:fldChar w:fldCharType="end"/>
      </w:r>
      <w:r>
        <w:rPr>
          <w:rFonts w:cs="Times New Roman"/>
          <w:highlight w:val="none"/>
        </w:rPr>
        <w:fldChar w:fldCharType="end"/>
      </w:r>
    </w:p>
    <w:p>
      <w:pPr>
        <w:pStyle w:val="13"/>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_Toc7393 </w:instrText>
      </w:r>
      <w:r>
        <w:rPr>
          <w:rFonts w:cs="Times New Roman"/>
          <w:highlight w:val="none"/>
        </w:rPr>
        <w:fldChar w:fldCharType="separate"/>
      </w:r>
      <w:r>
        <w:rPr>
          <w:rFonts w:hint="eastAsia" w:ascii="Times New Roman" w:hAnsi="Times New Roman"/>
          <w:highlight w:val="none"/>
        </w:rPr>
        <w:t>（三）</w:t>
      </w:r>
      <w:r>
        <w:rPr>
          <w:rFonts w:hint="eastAsia" w:ascii="Times New Roman" w:hAnsi="Times New Roman"/>
          <w:highlight w:val="none"/>
          <w:shd w:val="clear" w:color="auto" w:fill="FFFFFF"/>
        </w:rPr>
        <w:t>提高充电设施利用效率</w:t>
      </w:r>
      <w:r>
        <w:tab/>
      </w:r>
      <w:r>
        <w:fldChar w:fldCharType="begin"/>
      </w:r>
      <w:r>
        <w:instrText xml:space="preserve"> PAGEREF _Toc7393 </w:instrText>
      </w:r>
      <w:r>
        <w:fldChar w:fldCharType="separate"/>
      </w:r>
      <w:r>
        <w:t>26</w:t>
      </w:r>
      <w:r>
        <w:fldChar w:fldCharType="end"/>
      </w:r>
      <w:r>
        <w:rPr>
          <w:rFonts w:cs="Times New Roman"/>
          <w:highlight w:val="none"/>
        </w:rPr>
        <w:fldChar w:fldCharType="end"/>
      </w:r>
    </w:p>
    <w:p>
      <w:pPr>
        <w:pStyle w:val="13"/>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_Toc29779 </w:instrText>
      </w:r>
      <w:r>
        <w:rPr>
          <w:rFonts w:cs="Times New Roman"/>
          <w:highlight w:val="none"/>
        </w:rPr>
        <w:fldChar w:fldCharType="separate"/>
      </w:r>
      <w:r>
        <w:rPr>
          <w:rFonts w:hint="eastAsia" w:ascii="Times New Roman" w:hAnsi="Times New Roman"/>
          <w:highlight w:val="none"/>
        </w:rPr>
        <w:t>（四）提升服务保障水平</w:t>
      </w:r>
      <w:r>
        <w:tab/>
      </w:r>
      <w:r>
        <w:fldChar w:fldCharType="begin"/>
      </w:r>
      <w:r>
        <w:instrText xml:space="preserve"> PAGEREF _Toc29779 </w:instrText>
      </w:r>
      <w:r>
        <w:fldChar w:fldCharType="separate"/>
      </w:r>
      <w:r>
        <w:t>28</w:t>
      </w:r>
      <w:r>
        <w:fldChar w:fldCharType="end"/>
      </w:r>
      <w:r>
        <w:rPr>
          <w:rFonts w:cs="Times New Roman"/>
          <w:highlight w:val="none"/>
        </w:rPr>
        <w:fldChar w:fldCharType="end"/>
      </w:r>
    </w:p>
    <w:p>
      <w:pPr>
        <w:pStyle w:val="11"/>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_Toc2280 </w:instrText>
      </w:r>
      <w:r>
        <w:rPr>
          <w:rFonts w:cs="Times New Roman"/>
          <w:highlight w:val="none"/>
        </w:rPr>
        <w:fldChar w:fldCharType="separate"/>
      </w:r>
      <w:r>
        <w:rPr>
          <w:rFonts w:hint="eastAsia"/>
          <w:highlight w:val="none"/>
        </w:rPr>
        <w:t>五、保障措施</w:t>
      </w:r>
      <w:r>
        <w:tab/>
      </w:r>
      <w:r>
        <w:fldChar w:fldCharType="begin"/>
      </w:r>
      <w:r>
        <w:instrText xml:space="preserve"> PAGEREF _Toc2280 </w:instrText>
      </w:r>
      <w:r>
        <w:fldChar w:fldCharType="separate"/>
      </w:r>
      <w:r>
        <w:t>30</w:t>
      </w:r>
      <w:r>
        <w:fldChar w:fldCharType="end"/>
      </w:r>
      <w:r>
        <w:rPr>
          <w:rFonts w:cs="Times New Roman"/>
          <w:highlight w:val="none"/>
        </w:rPr>
        <w:fldChar w:fldCharType="end"/>
      </w:r>
    </w:p>
    <w:p>
      <w:pPr>
        <w:pStyle w:val="13"/>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_Toc28031 </w:instrText>
      </w:r>
      <w:r>
        <w:rPr>
          <w:rFonts w:cs="Times New Roman"/>
          <w:highlight w:val="none"/>
        </w:rPr>
        <w:fldChar w:fldCharType="separate"/>
      </w:r>
      <w:r>
        <w:rPr>
          <w:rFonts w:ascii="Times New Roman" w:hAnsi="Times New Roman"/>
          <w:highlight w:val="none"/>
        </w:rPr>
        <w:t>（一）加强组织领导</w:t>
      </w:r>
      <w:r>
        <w:tab/>
      </w:r>
      <w:r>
        <w:fldChar w:fldCharType="begin"/>
      </w:r>
      <w:r>
        <w:instrText xml:space="preserve"> PAGEREF _Toc28031 </w:instrText>
      </w:r>
      <w:r>
        <w:fldChar w:fldCharType="separate"/>
      </w:r>
      <w:r>
        <w:t>30</w:t>
      </w:r>
      <w:r>
        <w:fldChar w:fldCharType="end"/>
      </w:r>
      <w:r>
        <w:rPr>
          <w:rFonts w:cs="Times New Roman"/>
          <w:highlight w:val="none"/>
        </w:rPr>
        <w:fldChar w:fldCharType="end"/>
      </w:r>
    </w:p>
    <w:p>
      <w:pPr>
        <w:pStyle w:val="13"/>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_Toc10186 </w:instrText>
      </w:r>
      <w:r>
        <w:rPr>
          <w:rFonts w:cs="Times New Roman"/>
          <w:highlight w:val="none"/>
        </w:rPr>
        <w:fldChar w:fldCharType="separate"/>
      </w:r>
      <w:r>
        <w:rPr>
          <w:rFonts w:ascii="Times New Roman" w:hAnsi="Times New Roman"/>
          <w:highlight w:val="none"/>
        </w:rPr>
        <w:t>（二）</w:t>
      </w:r>
      <w:r>
        <w:rPr>
          <w:rFonts w:hint="eastAsia" w:ascii="Times New Roman" w:hAnsi="Times New Roman"/>
          <w:highlight w:val="none"/>
        </w:rPr>
        <w:t>强化规划实施</w:t>
      </w:r>
      <w:r>
        <w:tab/>
      </w:r>
      <w:r>
        <w:fldChar w:fldCharType="begin"/>
      </w:r>
      <w:r>
        <w:instrText xml:space="preserve"> PAGEREF _Toc10186 </w:instrText>
      </w:r>
      <w:r>
        <w:fldChar w:fldCharType="separate"/>
      </w:r>
      <w:r>
        <w:t>31</w:t>
      </w:r>
      <w:r>
        <w:fldChar w:fldCharType="end"/>
      </w:r>
      <w:r>
        <w:rPr>
          <w:rFonts w:cs="Times New Roman"/>
          <w:highlight w:val="none"/>
        </w:rPr>
        <w:fldChar w:fldCharType="end"/>
      </w:r>
    </w:p>
    <w:p>
      <w:pPr>
        <w:pStyle w:val="13"/>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_Toc869 </w:instrText>
      </w:r>
      <w:r>
        <w:rPr>
          <w:rFonts w:cs="Times New Roman"/>
          <w:highlight w:val="none"/>
        </w:rPr>
        <w:fldChar w:fldCharType="separate"/>
      </w:r>
      <w:r>
        <w:rPr>
          <w:rFonts w:ascii="Times New Roman" w:hAnsi="Times New Roman"/>
          <w:highlight w:val="none"/>
        </w:rPr>
        <w:t>（三）</w:t>
      </w:r>
      <w:r>
        <w:rPr>
          <w:rFonts w:hint="eastAsia" w:ascii="Times New Roman" w:hAnsi="Times New Roman"/>
          <w:highlight w:val="none"/>
        </w:rPr>
        <w:t>完善政策</w:t>
      </w:r>
      <w:r>
        <w:rPr>
          <w:rFonts w:hint="eastAsia" w:ascii="Times New Roman" w:hAnsi="Times New Roman"/>
          <w:highlight w:val="none"/>
          <w:lang w:eastAsia="zh-CN"/>
        </w:rPr>
        <w:t>法规</w:t>
      </w:r>
      <w:r>
        <w:tab/>
      </w:r>
      <w:r>
        <w:fldChar w:fldCharType="begin"/>
      </w:r>
      <w:r>
        <w:instrText xml:space="preserve"> PAGEREF _Toc869 </w:instrText>
      </w:r>
      <w:r>
        <w:fldChar w:fldCharType="separate"/>
      </w:r>
      <w:r>
        <w:t>31</w:t>
      </w:r>
      <w:r>
        <w:fldChar w:fldCharType="end"/>
      </w:r>
      <w:r>
        <w:rPr>
          <w:rFonts w:cs="Times New Roman"/>
          <w:highlight w:val="none"/>
        </w:rPr>
        <w:fldChar w:fldCharType="end"/>
      </w:r>
    </w:p>
    <w:p>
      <w:pPr>
        <w:pStyle w:val="13"/>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_Toc18702 </w:instrText>
      </w:r>
      <w:r>
        <w:rPr>
          <w:rFonts w:cs="Times New Roman"/>
          <w:highlight w:val="none"/>
        </w:rPr>
        <w:fldChar w:fldCharType="separate"/>
      </w:r>
      <w:r>
        <w:rPr>
          <w:rFonts w:hint="eastAsia"/>
        </w:rPr>
        <w:t>（四）强化要素保障</w:t>
      </w:r>
      <w:r>
        <w:tab/>
      </w:r>
      <w:r>
        <w:fldChar w:fldCharType="begin"/>
      </w:r>
      <w:r>
        <w:instrText xml:space="preserve"> PAGEREF _Toc18702 </w:instrText>
      </w:r>
      <w:r>
        <w:fldChar w:fldCharType="separate"/>
      </w:r>
      <w:r>
        <w:t>31</w:t>
      </w:r>
      <w:r>
        <w:fldChar w:fldCharType="end"/>
      </w:r>
      <w:r>
        <w:rPr>
          <w:rFonts w:cs="Times New Roman"/>
          <w:highlight w:val="none"/>
        </w:rPr>
        <w:fldChar w:fldCharType="end"/>
      </w:r>
    </w:p>
    <w:p>
      <w:pPr>
        <w:pStyle w:val="13"/>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_Toc18137 </w:instrText>
      </w:r>
      <w:r>
        <w:rPr>
          <w:rFonts w:cs="Times New Roman"/>
          <w:highlight w:val="none"/>
        </w:rPr>
        <w:fldChar w:fldCharType="separate"/>
      </w:r>
      <w:r>
        <w:rPr>
          <w:rFonts w:hint="eastAsia" w:ascii="Times New Roman" w:hAnsi="Times New Roman"/>
          <w:highlight w:val="none"/>
        </w:rPr>
        <w:t>（</w:t>
      </w:r>
      <w:r>
        <w:rPr>
          <w:rFonts w:hint="eastAsia" w:ascii="Times New Roman" w:hAnsi="Times New Roman"/>
          <w:highlight w:val="none"/>
          <w:lang w:eastAsia="zh-CN"/>
        </w:rPr>
        <w:t>五</w:t>
      </w:r>
      <w:r>
        <w:rPr>
          <w:rFonts w:hint="eastAsia" w:ascii="Times New Roman" w:hAnsi="Times New Roman"/>
          <w:highlight w:val="none"/>
        </w:rPr>
        <w:t>）加强宣传示范</w:t>
      </w:r>
      <w:r>
        <w:tab/>
      </w:r>
      <w:r>
        <w:fldChar w:fldCharType="begin"/>
      </w:r>
      <w:r>
        <w:instrText xml:space="preserve"> PAGEREF _Toc18137 </w:instrText>
      </w:r>
      <w:r>
        <w:fldChar w:fldCharType="separate"/>
      </w:r>
      <w:r>
        <w:t>32</w:t>
      </w:r>
      <w:r>
        <w:fldChar w:fldCharType="end"/>
      </w:r>
      <w:r>
        <w:rPr>
          <w:rFonts w:cs="Times New Roman"/>
          <w:highlight w:val="none"/>
        </w:rPr>
        <w:fldChar w:fldCharType="end"/>
      </w:r>
    </w:p>
    <w:p>
      <w:pPr>
        <w:pStyle w:val="11"/>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_Toc6291 </w:instrText>
      </w:r>
      <w:r>
        <w:rPr>
          <w:rFonts w:cs="Times New Roman"/>
          <w:highlight w:val="none"/>
        </w:rPr>
        <w:fldChar w:fldCharType="separate"/>
      </w:r>
      <w:r>
        <w:rPr>
          <w:rFonts w:hint="eastAsia"/>
          <w:highlight w:val="none"/>
        </w:rPr>
        <w:t>六、实施效果</w:t>
      </w:r>
      <w:r>
        <w:tab/>
      </w:r>
      <w:r>
        <w:fldChar w:fldCharType="begin"/>
      </w:r>
      <w:r>
        <w:instrText xml:space="preserve"> PAGEREF _Toc6291 </w:instrText>
      </w:r>
      <w:r>
        <w:fldChar w:fldCharType="separate"/>
      </w:r>
      <w:r>
        <w:t>32</w:t>
      </w:r>
      <w:r>
        <w:fldChar w:fldCharType="end"/>
      </w:r>
      <w:r>
        <w:rPr>
          <w:rFonts w:cs="Times New Roman"/>
          <w:highlight w:val="none"/>
        </w:rPr>
        <w:fldChar w:fldCharType="end"/>
      </w:r>
    </w:p>
    <w:p>
      <w:pPr>
        <w:pStyle w:val="13"/>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_Toc23492 </w:instrText>
      </w:r>
      <w:r>
        <w:rPr>
          <w:rFonts w:cs="Times New Roman"/>
          <w:highlight w:val="none"/>
        </w:rPr>
        <w:fldChar w:fldCharType="separate"/>
      </w:r>
      <w:r>
        <w:rPr>
          <w:rFonts w:hint="eastAsia" w:ascii="Times New Roman" w:hAnsi="Times New Roman"/>
          <w:highlight w:val="none"/>
        </w:rPr>
        <w:t>（一）投资规模测算</w:t>
      </w:r>
      <w:r>
        <w:tab/>
      </w:r>
      <w:r>
        <w:fldChar w:fldCharType="begin"/>
      </w:r>
      <w:r>
        <w:instrText xml:space="preserve"> PAGEREF _Toc23492 </w:instrText>
      </w:r>
      <w:r>
        <w:fldChar w:fldCharType="separate"/>
      </w:r>
      <w:r>
        <w:t>32</w:t>
      </w:r>
      <w:r>
        <w:fldChar w:fldCharType="end"/>
      </w:r>
      <w:r>
        <w:rPr>
          <w:rFonts w:cs="Times New Roman"/>
          <w:highlight w:val="none"/>
        </w:rPr>
        <w:fldChar w:fldCharType="end"/>
      </w:r>
    </w:p>
    <w:p>
      <w:pPr>
        <w:pStyle w:val="13"/>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_Toc23553 </w:instrText>
      </w:r>
      <w:r>
        <w:rPr>
          <w:rFonts w:cs="Times New Roman"/>
          <w:highlight w:val="none"/>
        </w:rPr>
        <w:fldChar w:fldCharType="separate"/>
      </w:r>
      <w:r>
        <w:rPr>
          <w:rFonts w:hint="eastAsia" w:ascii="Times New Roman" w:hAnsi="Times New Roman"/>
          <w:highlight w:val="none"/>
        </w:rPr>
        <w:t>（二）社会效益分析</w:t>
      </w:r>
      <w:r>
        <w:tab/>
      </w:r>
      <w:r>
        <w:fldChar w:fldCharType="begin"/>
      </w:r>
      <w:r>
        <w:instrText xml:space="preserve"> PAGEREF _Toc23553 </w:instrText>
      </w:r>
      <w:r>
        <w:fldChar w:fldCharType="separate"/>
      </w:r>
      <w:r>
        <w:t>33</w:t>
      </w:r>
      <w:r>
        <w:fldChar w:fldCharType="end"/>
      </w:r>
      <w:r>
        <w:rPr>
          <w:rFonts w:cs="Times New Roman"/>
          <w:highlight w:val="none"/>
        </w:rPr>
        <w:fldChar w:fldCharType="end"/>
      </w:r>
    </w:p>
    <w:p>
      <w:pPr>
        <w:pStyle w:val="11"/>
        <w:keepNext w:val="0"/>
        <w:keepLines w:val="0"/>
        <w:pageBreakBefore w:val="0"/>
        <w:tabs>
          <w:tab w:val="right" w:leader="dot" w:pos="8312"/>
        </w:tabs>
        <w:kinsoku/>
        <w:wordWrap/>
        <w:overflowPunct/>
        <w:topLinePunct w:val="0"/>
        <w:autoSpaceDE/>
        <w:autoSpaceDN/>
        <w:bidi w:val="0"/>
        <w:adjustRightInd/>
        <w:snapToGrid/>
        <w:ind w:firstLine="0" w:firstLineChars="0"/>
        <w:textAlignment w:val="auto"/>
      </w:pPr>
      <w:r>
        <w:rPr>
          <w:rFonts w:cs="Times New Roman"/>
          <w:highlight w:val="none"/>
        </w:rPr>
        <w:fldChar w:fldCharType="begin"/>
      </w:r>
      <w:r>
        <w:rPr>
          <w:rFonts w:cs="Times New Roman"/>
          <w:highlight w:val="none"/>
        </w:rPr>
        <w:instrText xml:space="preserve"> HYPERLINK \l _Toc25868 </w:instrText>
      </w:r>
      <w:r>
        <w:rPr>
          <w:rFonts w:cs="Times New Roman"/>
          <w:highlight w:val="none"/>
        </w:rPr>
        <w:fldChar w:fldCharType="separate"/>
      </w:r>
      <w:r>
        <w:rPr>
          <w:rFonts w:hint="eastAsia"/>
          <w:highlight w:val="none"/>
          <w:lang w:eastAsia="zh-CN"/>
        </w:rPr>
        <w:t>七</w:t>
      </w:r>
      <w:r>
        <w:rPr>
          <w:rFonts w:hint="eastAsia"/>
          <w:highlight w:val="none"/>
        </w:rPr>
        <w:t>、</w:t>
      </w:r>
      <w:r>
        <w:rPr>
          <w:rFonts w:hint="eastAsia"/>
          <w:highlight w:val="none"/>
          <w:lang w:eastAsia="zh-CN"/>
        </w:rPr>
        <w:t>近期建设计划</w:t>
      </w:r>
      <w:r>
        <w:tab/>
      </w:r>
      <w:r>
        <w:fldChar w:fldCharType="begin"/>
      </w:r>
      <w:r>
        <w:instrText xml:space="preserve"> PAGEREF _Toc25868 </w:instrText>
      </w:r>
      <w:r>
        <w:fldChar w:fldCharType="separate"/>
      </w:r>
      <w:r>
        <w:t>33</w:t>
      </w:r>
      <w:r>
        <w:fldChar w:fldCharType="end"/>
      </w:r>
      <w:r>
        <w:rPr>
          <w:rFonts w:cs="Times New Roman"/>
          <w:highlight w:val="none"/>
        </w:rPr>
        <w:fldChar w:fldCharType="end"/>
      </w:r>
    </w:p>
    <w:p>
      <w:pPr>
        <w:pStyle w:val="7"/>
        <w:keepNext w:val="0"/>
        <w:keepLines w:val="0"/>
        <w:pageBreakBefore w:val="0"/>
        <w:tabs>
          <w:tab w:val="right" w:leader="dot" w:pos="8312"/>
        </w:tabs>
        <w:kinsoku/>
        <w:wordWrap/>
        <w:overflowPunct/>
        <w:topLinePunct w:val="0"/>
        <w:autoSpaceDE/>
        <w:autoSpaceDN/>
        <w:bidi w:val="0"/>
        <w:adjustRightInd/>
        <w:snapToGrid/>
        <w:ind w:left="0" w:leftChars="0" w:firstLine="0" w:firstLineChars="0"/>
        <w:textAlignment w:val="auto"/>
      </w:pPr>
      <w:r>
        <w:rPr>
          <w:rFonts w:cs="Times New Roman"/>
          <w:highlight w:val="none"/>
        </w:rPr>
        <w:fldChar w:fldCharType="begin"/>
      </w:r>
      <w:r>
        <w:rPr>
          <w:rFonts w:cs="Times New Roman"/>
          <w:highlight w:val="none"/>
        </w:rPr>
        <w:instrText xml:space="preserve"> HYPERLINK \l _Toc14107 </w:instrText>
      </w:r>
      <w:r>
        <w:rPr>
          <w:rFonts w:cs="Times New Roman"/>
          <w:highlight w:val="none"/>
        </w:rPr>
        <w:fldChar w:fldCharType="separate"/>
      </w:r>
      <w:r>
        <w:rPr>
          <w:rFonts w:hint="eastAsia" w:cs="Times New Roman"/>
          <w:lang w:val="en-US" w:eastAsia="zh-CN"/>
        </w:rPr>
        <w:t>附件</w:t>
      </w:r>
      <w:r>
        <w:tab/>
      </w:r>
      <w:r>
        <w:fldChar w:fldCharType="begin"/>
      </w:r>
      <w:r>
        <w:instrText xml:space="preserve"> PAGEREF _Toc14107 </w:instrText>
      </w:r>
      <w:r>
        <w:fldChar w:fldCharType="separate"/>
      </w:r>
      <w:r>
        <w:t>34</w:t>
      </w:r>
      <w:r>
        <w:fldChar w:fldCharType="end"/>
      </w:r>
      <w:r>
        <w:rPr>
          <w:rFonts w:cs="Times New Roman"/>
          <w:highlight w:val="none"/>
        </w:rPr>
        <w:fldChar w:fldCharType="end"/>
      </w:r>
    </w:p>
    <w:p>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highlight w:val="none"/>
        </w:rPr>
        <w:sectPr>
          <w:pgSz w:w="11906" w:h="16838"/>
          <w:pgMar w:top="1440" w:right="1797" w:bottom="1440" w:left="1797" w:header="851" w:footer="992" w:gutter="0"/>
          <w:pgNumType w:fmt="decimal" w:start="1"/>
          <w:cols w:space="425" w:num="1"/>
          <w:docGrid w:type="linesAndChars" w:linePitch="435" w:charSpace="0"/>
        </w:sectPr>
      </w:pPr>
      <w:r>
        <w:rPr>
          <w:rFonts w:cs="Times New Roman"/>
          <w:highlight w:val="none"/>
        </w:rPr>
        <w:fldChar w:fldCharType="end"/>
      </w:r>
      <w:bookmarkStart w:id="7" w:name="_Toc9751"/>
      <w:bookmarkStart w:id="8" w:name="_Toc66354652"/>
    </w:p>
    <w:p>
      <w:pPr>
        <w:pStyle w:val="3"/>
        <w:bidi w:val="0"/>
      </w:pPr>
      <w:bookmarkStart w:id="9" w:name="_Toc27307"/>
      <w:r>
        <w:rPr>
          <w:rFonts w:hint="eastAsia"/>
        </w:rPr>
        <w:t>一、电动汽车及充电基础设施发展基础</w:t>
      </w:r>
      <w:bookmarkEnd w:id="7"/>
      <w:bookmarkEnd w:id="8"/>
      <w:bookmarkEnd w:id="9"/>
    </w:p>
    <w:p>
      <w:pPr>
        <w:pStyle w:val="4"/>
        <w:ind w:firstLine="643"/>
        <w:rPr>
          <w:rFonts w:ascii="Times New Roman" w:hAnsi="Times New Roman"/>
          <w:highlight w:val="none"/>
        </w:rPr>
      </w:pPr>
      <w:bookmarkStart w:id="10" w:name="_Toc6413"/>
      <w:bookmarkStart w:id="11" w:name="_Toc66354653"/>
      <w:bookmarkStart w:id="12" w:name="_Toc24497"/>
      <w:r>
        <w:rPr>
          <w:rFonts w:hint="eastAsia" w:ascii="Times New Roman" w:hAnsi="Times New Roman"/>
          <w:highlight w:val="none"/>
        </w:rPr>
        <w:t>（一）发展现状</w:t>
      </w:r>
      <w:bookmarkEnd w:id="10"/>
      <w:bookmarkEnd w:id="11"/>
      <w:bookmarkEnd w:id="12"/>
    </w:p>
    <w:p>
      <w:pPr>
        <w:pStyle w:val="5"/>
        <w:ind w:firstLine="643"/>
        <w:rPr>
          <w:highlight w:val="none"/>
        </w:rPr>
      </w:pPr>
      <w:bookmarkStart w:id="13" w:name="_Toc6124"/>
      <w:bookmarkStart w:id="14" w:name="_Toc14046"/>
      <w:r>
        <w:rPr>
          <w:rFonts w:hint="eastAsia"/>
          <w:highlight w:val="none"/>
        </w:rPr>
        <w:t>1.城市基本情况</w:t>
      </w:r>
      <w:bookmarkEnd w:id="13"/>
      <w:bookmarkEnd w:id="14"/>
    </w:p>
    <w:p>
      <w:pPr>
        <w:spacing w:line="600" w:lineRule="exact"/>
        <w:ind w:firstLine="640"/>
        <w:rPr>
          <w:rFonts w:hint="eastAsia" w:cs="Times New Roman"/>
          <w:color w:val="000000" w:themeColor="text1"/>
          <w:szCs w:val="32"/>
          <w:highlight w:val="none"/>
          <w:lang w:eastAsia="zh-CN"/>
          <w14:textFill>
            <w14:solidFill>
              <w14:schemeClr w14:val="tx1"/>
            </w14:solidFill>
          </w14:textFill>
        </w:rPr>
      </w:pPr>
      <w:r>
        <w:rPr>
          <w:rFonts w:hint="eastAsia"/>
          <w:highlight w:val="none"/>
        </w:rPr>
        <w:t>义乌市隶属于浙江省金华市（下辖县级市），地处长三角城市群、浙江金义都市区、杭金衢和金丽温城市带，是浙江四大区域中心城市之一。义乌市下辖8个街道、6个镇</w:t>
      </w:r>
      <w:r>
        <w:rPr>
          <w:rFonts w:hint="eastAsia"/>
          <w:highlight w:val="none"/>
          <w:lang w:eastAsia="zh-CN"/>
        </w:rPr>
        <w:t>，</w:t>
      </w:r>
      <w:r>
        <w:rPr>
          <w:rFonts w:hint="eastAsia"/>
          <w:highlight w:val="none"/>
        </w:rPr>
        <w:t>全市总面积1105平方公里，截至2020年底，户籍人口85.34万人，城镇化率达到80%。</w:t>
      </w:r>
      <w:r>
        <w:rPr>
          <w:rFonts w:cs="Times New Roman"/>
          <w:color w:val="000000" w:themeColor="text1"/>
          <w:szCs w:val="32"/>
          <w:highlight w:val="none"/>
          <w14:textFill>
            <w14:solidFill>
              <w14:schemeClr w14:val="tx1"/>
            </w14:solidFill>
          </w14:textFill>
        </w:rPr>
        <w:t>“十三五”</w:t>
      </w:r>
      <w:r>
        <w:rPr>
          <w:rFonts w:hint="eastAsia" w:cs="Times New Roman"/>
          <w:color w:val="000000" w:themeColor="text1"/>
          <w:szCs w:val="32"/>
          <w:highlight w:val="none"/>
          <w14:textFill>
            <w14:solidFill>
              <w14:schemeClr w14:val="tx1"/>
            </w14:solidFill>
          </w14:textFill>
        </w:rPr>
        <w:t>以来，</w:t>
      </w:r>
      <w:r>
        <w:rPr>
          <w:rFonts w:hint="eastAsia"/>
          <w:highlight w:val="none"/>
        </w:rPr>
        <w:t>义乌市坚持和深化“义乌发展经验”，加快建设“两个样板”，抢当“重要窗口”模范生，</w:t>
      </w:r>
      <w:r>
        <w:rPr>
          <w:rFonts w:cs="Times New Roman"/>
          <w:color w:val="000000" w:themeColor="text1"/>
          <w:szCs w:val="32"/>
          <w:highlight w:val="none"/>
          <w14:textFill>
            <w14:solidFill>
              <w14:schemeClr w14:val="tx1"/>
            </w14:solidFill>
          </w14:textFill>
        </w:rPr>
        <w:t>完成了从经济大市向经济强市、从对内对外开放向深度融入全球、从总体小康向高水平全面小康的跃变</w:t>
      </w:r>
      <w:r>
        <w:rPr>
          <w:rFonts w:hint="eastAsia" w:cs="Times New Roman"/>
          <w:color w:val="000000" w:themeColor="text1"/>
          <w:szCs w:val="32"/>
          <w:highlight w:val="none"/>
          <w:lang w:eastAsia="zh-CN"/>
          <w14:textFill>
            <w14:solidFill>
              <w14:schemeClr w14:val="tx1"/>
            </w14:solidFill>
          </w14:textFill>
        </w:rPr>
        <w:t>。</w:t>
      </w:r>
    </w:p>
    <w:p>
      <w:pPr>
        <w:spacing w:line="600" w:lineRule="exact"/>
        <w:ind w:firstLine="640"/>
        <w:rPr>
          <w:rFonts w:hint="eastAsia"/>
          <w:highlight w:val="none"/>
        </w:rPr>
      </w:pPr>
      <w:r>
        <w:rPr>
          <w:rFonts w:hint="eastAsia" w:cs="Times New Roman"/>
          <w:b/>
          <w:bCs/>
          <w:color w:val="000000" w:themeColor="text1"/>
          <w:szCs w:val="32"/>
          <w:highlight w:val="none"/>
          <w14:textFill>
            <w14:solidFill>
              <w14:schemeClr w14:val="tx1"/>
            </w14:solidFill>
          </w14:textFill>
        </w:rPr>
        <w:t>综合实力稳步提升</w:t>
      </w:r>
      <w:r>
        <w:rPr>
          <w:rFonts w:cs="Times New Roman"/>
          <w:b/>
          <w:bCs/>
          <w:color w:val="000000" w:themeColor="text1"/>
          <w:szCs w:val="32"/>
          <w:highlight w:val="none"/>
          <w14:textFill>
            <w14:solidFill>
              <w14:schemeClr w14:val="tx1"/>
            </w14:solidFill>
          </w14:textFill>
        </w:rPr>
        <w:t>。</w:t>
      </w:r>
      <w:r>
        <w:rPr>
          <w:rFonts w:hint="eastAsia"/>
          <w:highlight w:val="none"/>
        </w:rPr>
        <w:t>2020年地区生产总值近1500亿元，GDP增速高于全国、全省和金华市1.7、0.4和1.2个百分点，位于全省十七强县（市、区）第6位，第三产业增加值增速超过全省0.2个百分点，位于全省十七强县（市、区）第4位。“十三五”期间，全市GDP年均增长7.19%，一般公共预算收入超百亿。</w:t>
      </w:r>
    </w:p>
    <w:p>
      <w:pPr>
        <w:spacing w:line="600" w:lineRule="exact"/>
        <w:ind w:firstLine="640"/>
      </w:pPr>
      <w:r>
        <w:rPr>
          <w:rFonts w:hint="eastAsia"/>
          <w:b/>
          <w:bCs/>
          <w:highlight w:val="none"/>
        </w:rPr>
        <w:t>产业结构不断优化</w:t>
      </w:r>
      <w:r>
        <w:rPr>
          <w:rFonts w:hint="eastAsia"/>
          <w:highlight w:val="none"/>
          <w:lang w:eastAsia="zh-CN"/>
        </w:rPr>
        <w:t>。</w:t>
      </w:r>
      <w:r>
        <w:rPr>
          <w:rFonts w:hint="eastAsia"/>
          <w:highlight w:val="none"/>
        </w:rPr>
        <w:t>2020年相较于2015年，三次产业结构由2:36.1:61.9调整为1.6:28.4:70，第三产业占比增长了8.1个百分点。万元GDP能耗、水耗、碳排放量分别下降19.1%、33%、21%，高质量的完成</w:t>
      </w:r>
      <w:r>
        <w:rPr>
          <w:rFonts w:cs="Times New Roman"/>
          <w:color w:val="000000" w:themeColor="text1"/>
          <w:szCs w:val="32"/>
          <w:highlight w:val="none"/>
          <w14:textFill>
            <w14:solidFill>
              <w14:schemeClr w14:val="tx1"/>
            </w14:solidFill>
          </w14:textFill>
        </w:rPr>
        <w:t>目标任务，为开启高水平</w:t>
      </w:r>
      <w:r>
        <w:rPr>
          <w:rFonts w:hint="eastAsia" w:cs="Times New Roman"/>
          <w:color w:val="000000" w:themeColor="text1"/>
          <w:szCs w:val="32"/>
          <w:highlight w:val="none"/>
          <w:lang w:eastAsia="zh-CN"/>
          <w14:textFill>
            <w14:solidFill>
              <w14:schemeClr w14:val="tx1"/>
            </w14:solidFill>
          </w14:textFill>
        </w:rPr>
        <w:t>全面建设社会主义现代化国家新征程</w:t>
      </w:r>
      <w:r>
        <w:rPr>
          <w:rFonts w:cs="Times New Roman"/>
          <w:color w:val="000000" w:themeColor="text1"/>
          <w:szCs w:val="32"/>
          <w:highlight w:val="none"/>
          <w14:textFill>
            <w14:solidFill>
              <w14:schemeClr w14:val="tx1"/>
            </w14:solidFill>
          </w14:textFill>
        </w:rPr>
        <w:t>、高质量高水平建成世界小商品之都奠定了坚实基础。</w:t>
      </w:r>
    </w:p>
    <w:p>
      <w:pPr>
        <w:spacing w:line="240" w:lineRule="auto"/>
        <w:ind w:firstLine="0" w:firstLineChars="0"/>
        <w:rPr>
          <w:highlight w:val="none"/>
        </w:rPr>
      </w:pPr>
      <w:r>
        <w:rPr>
          <w:highlight w:val="none"/>
        </w:rPr>
        <w:drawing>
          <wp:inline distT="0" distB="0" distL="114300" distR="114300">
            <wp:extent cx="5273040" cy="2421255"/>
            <wp:effectExtent l="0" t="0" r="381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3040" cy="2421255"/>
                    </a:xfrm>
                    <a:prstGeom prst="rect">
                      <a:avLst/>
                    </a:prstGeom>
                    <a:noFill/>
                    <a:ln>
                      <a:noFill/>
                    </a:ln>
                  </pic:spPr>
                </pic:pic>
              </a:graphicData>
            </a:graphic>
          </wp:inline>
        </w:drawing>
      </w:r>
    </w:p>
    <w:p>
      <w:pPr>
        <w:pStyle w:val="2"/>
        <w:ind w:firstLine="0" w:firstLineChars="0"/>
        <w:jc w:val="center"/>
        <w:rPr>
          <w:b/>
          <w:bCs w:val="0"/>
          <w:highlight w:val="none"/>
        </w:rPr>
      </w:pPr>
      <w:r>
        <w:rPr>
          <w:rFonts w:hint="eastAsia"/>
          <w:b/>
          <w:bCs w:val="0"/>
          <w:highlight w:val="none"/>
        </w:rPr>
        <w:t>图1 义乌市2020年经济发展情况</w:t>
      </w:r>
    </w:p>
    <w:p>
      <w:pPr>
        <w:pStyle w:val="5"/>
        <w:ind w:firstLine="643"/>
        <w:rPr>
          <w:highlight w:val="none"/>
        </w:rPr>
      </w:pPr>
      <w:bookmarkStart w:id="15" w:name="_Toc66354655"/>
      <w:bookmarkStart w:id="16" w:name="_Toc4430"/>
      <w:bookmarkStart w:id="17" w:name="_Toc626"/>
      <w:bookmarkStart w:id="18" w:name="_Toc8395"/>
      <w:bookmarkStart w:id="19" w:name="_Toc65252670"/>
      <w:r>
        <w:rPr>
          <w:rFonts w:hint="eastAsia"/>
          <w:highlight w:val="none"/>
          <w:lang w:val="en-US" w:eastAsia="zh-CN"/>
        </w:rPr>
        <w:t>2</w:t>
      </w:r>
      <w:r>
        <w:rPr>
          <w:rFonts w:hint="eastAsia"/>
          <w:highlight w:val="none"/>
        </w:rPr>
        <w:t>.交通</w:t>
      </w:r>
      <w:r>
        <w:rPr>
          <w:highlight w:val="none"/>
        </w:rPr>
        <w:t>发展现状</w:t>
      </w:r>
      <w:bookmarkEnd w:id="15"/>
      <w:bookmarkEnd w:id="16"/>
      <w:bookmarkEnd w:id="17"/>
      <w:bookmarkEnd w:id="18"/>
      <w:bookmarkEnd w:id="19"/>
    </w:p>
    <w:p>
      <w:pPr>
        <w:ind w:firstLine="640"/>
        <w:rPr>
          <w:rFonts w:hint="eastAsia"/>
          <w:color w:val="auto"/>
          <w:szCs w:val="32"/>
          <w:highlight w:val="none"/>
        </w:rPr>
      </w:pPr>
      <w:r>
        <w:rPr>
          <w:rFonts w:hint="eastAsia"/>
          <w:b/>
          <w:bCs/>
          <w:szCs w:val="32"/>
          <w:highlight w:val="none"/>
          <w:lang w:eastAsia="zh-CN"/>
        </w:rPr>
        <w:t>城区交通网络不断完善。</w:t>
      </w:r>
      <w:r>
        <w:rPr>
          <w:rFonts w:hint="eastAsia"/>
          <w:szCs w:val="32"/>
          <w:highlight w:val="none"/>
        </w:rPr>
        <w:t>截至</w:t>
      </w:r>
      <w:r>
        <w:rPr>
          <w:szCs w:val="32"/>
          <w:highlight w:val="none"/>
        </w:rPr>
        <w:t>20</w:t>
      </w:r>
      <w:r>
        <w:rPr>
          <w:rFonts w:hint="eastAsia"/>
          <w:szCs w:val="32"/>
          <w:highlight w:val="none"/>
        </w:rPr>
        <w:t>20年底，全市公路总里程1559.06公里，其中高速公路54.12公里，一级公路289.33公里，二级公路97.48公里，公路密度141.09公里/百平方公里，基本形成层次分明、功能完善、布局合理的综合交通网络。以高速公路为主骨架，以普通国省道为支撑形成市内干线交通网络，正在构建市域</w:t>
      </w:r>
      <w:r>
        <w:rPr>
          <w:szCs w:val="32"/>
          <w:highlight w:val="none"/>
        </w:rPr>
        <w:t>1</w:t>
      </w:r>
      <w:r>
        <w:rPr>
          <w:rFonts w:hint="eastAsia"/>
          <w:szCs w:val="32"/>
          <w:highlight w:val="none"/>
        </w:rPr>
        <w:t>小时交通圈。建成义乌站、国内公路港物流中心等一批大型综合客货枢纽，枢纽集疏运网络逐渐完善，综合交通衔接转换能力逐步增强。农村公路建设完成公路路面大</w:t>
      </w:r>
      <w:r>
        <w:rPr>
          <w:rFonts w:hint="eastAsia"/>
          <w:color w:val="auto"/>
          <w:szCs w:val="32"/>
          <w:highlight w:val="none"/>
        </w:rPr>
        <w:t>中修765公里，农村交通基础设施条件明显改善。</w:t>
      </w:r>
    </w:p>
    <w:p>
      <w:pPr>
        <w:ind w:firstLine="640"/>
        <w:rPr>
          <w:szCs w:val="32"/>
          <w:highlight w:val="none"/>
        </w:rPr>
      </w:pPr>
      <w:r>
        <w:rPr>
          <w:rFonts w:hint="eastAsia"/>
          <w:b/>
          <w:bCs/>
          <w:color w:val="auto"/>
          <w:szCs w:val="32"/>
          <w:highlight w:val="none"/>
          <w:lang w:eastAsia="zh-CN"/>
        </w:rPr>
        <w:t>公共交通服务水平不断提升。</w:t>
      </w:r>
      <w:r>
        <w:rPr>
          <w:rFonts w:hint="eastAsia"/>
          <w:color w:val="auto"/>
          <w:szCs w:val="32"/>
          <w:highlight w:val="none"/>
        </w:rPr>
        <w:t>“十三五”期间，公交车数量和线路、公交场站数量和规模都得到了大幅增长。其中公交车数量增加至</w:t>
      </w:r>
      <w:r>
        <w:rPr>
          <w:rFonts w:hint="eastAsia"/>
          <w:color w:val="auto"/>
          <w:szCs w:val="32"/>
          <w:highlight w:val="none"/>
          <w:lang w:val="en-US" w:eastAsia="zh-CN"/>
        </w:rPr>
        <w:t>1451</w:t>
      </w:r>
      <w:r>
        <w:rPr>
          <w:rFonts w:hint="eastAsia"/>
          <w:color w:val="auto"/>
          <w:szCs w:val="32"/>
          <w:highlight w:val="none"/>
        </w:rPr>
        <w:t>辆，公交线路增加至189条，公交场站数量增加至51个，公交场站规模</w:t>
      </w:r>
      <w:r>
        <w:rPr>
          <w:rFonts w:hint="eastAsia"/>
          <w:szCs w:val="32"/>
          <w:highlight w:val="none"/>
        </w:rPr>
        <w:t>增加至150890平方米。全市共有公交企业4家、巡游出租汽车企业12</w:t>
      </w:r>
      <w:bookmarkStart w:id="204" w:name="_GoBack"/>
      <w:bookmarkEnd w:id="204"/>
      <w:r>
        <w:rPr>
          <w:rFonts w:hint="eastAsia"/>
          <w:szCs w:val="32"/>
          <w:highlight w:val="none"/>
        </w:rPr>
        <w:t>家、公路货运企业</w:t>
      </w:r>
      <w:r>
        <w:rPr>
          <w:rFonts w:hint="eastAsia"/>
          <w:szCs w:val="32"/>
          <w:highlight w:val="none"/>
          <w:lang w:val="en-US" w:eastAsia="zh-CN"/>
        </w:rPr>
        <w:t>833</w:t>
      </w:r>
      <w:r>
        <w:rPr>
          <w:rFonts w:hint="eastAsia"/>
          <w:szCs w:val="32"/>
          <w:highlight w:val="none"/>
        </w:rPr>
        <w:t>家、</w:t>
      </w:r>
      <w:r>
        <w:rPr>
          <w:rFonts w:hint="eastAsia"/>
          <w:szCs w:val="32"/>
          <w:highlight w:val="none"/>
          <w:lang w:eastAsia="zh-CN"/>
        </w:rPr>
        <w:t>国内物流企业</w:t>
      </w:r>
      <w:r>
        <w:rPr>
          <w:rFonts w:hint="eastAsia"/>
          <w:szCs w:val="32"/>
          <w:highlight w:val="none"/>
          <w:lang w:val="en-US" w:eastAsia="zh-CN"/>
        </w:rPr>
        <w:t>1550家、</w:t>
      </w:r>
      <w:r>
        <w:rPr>
          <w:rFonts w:hint="eastAsia"/>
          <w:szCs w:val="32"/>
          <w:highlight w:val="none"/>
        </w:rPr>
        <w:t>驾培机构16家。公共交通服务得到了全面提升，实现所有乡镇运输服务站全覆盖，综合客运枢纽3个，分别为义乌火车站、商贸城客运中心、龙回枢纽。</w:t>
      </w:r>
    </w:p>
    <w:p>
      <w:pPr>
        <w:pStyle w:val="5"/>
        <w:ind w:firstLine="643"/>
        <w:rPr>
          <w:highlight w:val="none"/>
        </w:rPr>
      </w:pPr>
      <w:bookmarkStart w:id="20" w:name="_Toc65252671"/>
      <w:bookmarkStart w:id="21" w:name="_Toc7704"/>
      <w:bookmarkStart w:id="22" w:name="_Toc30827"/>
      <w:bookmarkStart w:id="23" w:name="_Toc15088"/>
      <w:bookmarkStart w:id="24" w:name="_Toc66354656"/>
      <w:r>
        <w:rPr>
          <w:rFonts w:hint="eastAsia"/>
          <w:highlight w:val="none"/>
          <w:lang w:val="en-US" w:eastAsia="zh-CN"/>
        </w:rPr>
        <w:t>3</w:t>
      </w:r>
      <w:r>
        <w:rPr>
          <w:rFonts w:hint="eastAsia"/>
          <w:highlight w:val="none"/>
        </w:rPr>
        <w:t>.电动车及充电基础设施建设情况</w:t>
      </w:r>
      <w:bookmarkEnd w:id="20"/>
      <w:bookmarkEnd w:id="21"/>
      <w:bookmarkEnd w:id="22"/>
      <w:bookmarkEnd w:id="23"/>
      <w:bookmarkEnd w:id="24"/>
    </w:p>
    <w:p>
      <w:pPr>
        <w:ind w:firstLine="640"/>
        <w:rPr>
          <w:rFonts w:cs="Times New Roman"/>
          <w:snapToGrid w:val="0"/>
          <w:szCs w:val="32"/>
          <w:highlight w:val="none"/>
        </w:rPr>
      </w:pPr>
      <w:r>
        <w:rPr>
          <w:rFonts w:hint="eastAsia"/>
          <w:b/>
          <w:bCs/>
          <w:szCs w:val="32"/>
          <w:highlight w:val="none"/>
          <w:lang w:eastAsia="zh-CN"/>
        </w:rPr>
        <w:t>积极推广新能源汽车。</w:t>
      </w:r>
      <w:r>
        <w:rPr>
          <w:rFonts w:hint="eastAsia"/>
          <w:szCs w:val="32"/>
          <w:highlight w:val="none"/>
        </w:rPr>
        <w:t>截</w:t>
      </w:r>
      <w:r>
        <w:rPr>
          <w:szCs w:val="32"/>
          <w:highlight w:val="none"/>
        </w:rPr>
        <w:t>至20</w:t>
      </w:r>
      <w:r>
        <w:rPr>
          <w:rFonts w:hint="eastAsia"/>
          <w:szCs w:val="32"/>
          <w:highlight w:val="none"/>
        </w:rPr>
        <w:t>20</w:t>
      </w:r>
      <w:r>
        <w:rPr>
          <w:szCs w:val="32"/>
          <w:highlight w:val="none"/>
        </w:rPr>
        <w:t>年底，全</w:t>
      </w:r>
      <w:r>
        <w:rPr>
          <w:rFonts w:hint="eastAsia"/>
          <w:szCs w:val="32"/>
          <w:highlight w:val="none"/>
        </w:rPr>
        <w:t>市</w:t>
      </w:r>
      <w:r>
        <w:rPr>
          <w:szCs w:val="32"/>
          <w:highlight w:val="none"/>
        </w:rPr>
        <w:t>机动车保有量已达</w:t>
      </w:r>
      <w:r>
        <w:rPr>
          <w:rFonts w:hint="eastAsia"/>
          <w:szCs w:val="32"/>
          <w:highlight w:val="none"/>
        </w:rPr>
        <w:t>76.48</w:t>
      </w:r>
      <w:r>
        <w:rPr>
          <w:szCs w:val="32"/>
          <w:highlight w:val="none"/>
        </w:rPr>
        <w:t>万辆，</w:t>
      </w:r>
      <w:r>
        <w:rPr>
          <w:rFonts w:cs="Times New Roman"/>
          <w:snapToGrid w:val="0"/>
          <w:color w:val="000000"/>
          <w:szCs w:val="32"/>
          <w:highlight w:val="none"/>
        </w:rPr>
        <w:t>电动汽车保有量达</w:t>
      </w:r>
      <w:r>
        <w:rPr>
          <w:rFonts w:hint="eastAsia"/>
          <w:szCs w:val="32"/>
          <w:highlight w:val="none"/>
        </w:rPr>
        <w:t>8570</w:t>
      </w:r>
      <w:r>
        <w:rPr>
          <w:rFonts w:cs="Times New Roman"/>
          <w:snapToGrid w:val="0"/>
          <w:color w:val="000000"/>
          <w:szCs w:val="32"/>
          <w:highlight w:val="none"/>
        </w:rPr>
        <w:t>辆，</w:t>
      </w:r>
      <w:r>
        <w:rPr>
          <w:szCs w:val="32"/>
          <w:highlight w:val="none"/>
        </w:rPr>
        <w:t>其中</w:t>
      </w:r>
      <w:r>
        <w:rPr>
          <w:rFonts w:hint="eastAsia"/>
          <w:szCs w:val="32"/>
          <w:highlight w:val="none"/>
        </w:rPr>
        <w:t>共有</w:t>
      </w:r>
      <w:r>
        <w:rPr>
          <w:rFonts w:hint="eastAsia"/>
          <w:color w:val="auto"/>
          <w:szCs w:val="32"/>
          <w:highlight w:val="none"/>
        </w:rPr>
        <w:t>公交车1451辆，出租车1379辆，营运货车3590辆。“十三五”以来，</w:t>
      </w:r>
      <w:r>
        <w:rPr>
          <w:color w:val="auto"/>
          <w:szCs w:val="32"/>
          <w:highlight w:val="none"/>
        </w:rPr>
        <w:t>全</w:t>
      </w:r>
      <w:r>
        <w:rPr>
          <w:rFonts w:hint="eastAsia"/>
          <w:color w:val="auto"/>
          <w:szCs w:val="32"/>
          <w:highlight w:val="none"/>
        </w:rPr>
        <w:t>市</w:t>
      </w:r>
      <w:r>
        <w:rPr>
          <w:color w:val="auto"/>
          <w:szCs w:val="32"/>
          <w:highlight w:val="none"/>
        </w:rPr>
        <w:t>共推广</w:t>
      </w:r>
      <w:r>
        <w:rPr>
          <w:szCs w:val="32"/>
          <w:highlight w:val="none"/>
        </w:rPr>
        <w:t>新能源汽车</w:t>
      </w:r>
      <w:r>
        <w:rPr>
          <w:rFonts w:hint="eastAsia"/>
          <w:szCs w:val="32"/>
          <w:highlight w:val="none"/>
        </w:rPr>
        <w:t>8570</w:t>
      </w:r>
      <w:r>
        <w:rPr>
          <w:szCs w:val="32"/>
          <w:highlight w:val="none"/>
        </w:rPr>
        <w:t>辆</w:t>
      </w:r>
      <w:r>
        <w:rPr>
          <w:rFonts w:hint="eastAsia"/>
          <w:szCs w:val="32"/>
          <w:highlight w:val="none"/>
        </w:rPr>
        <w:t>，新能源汽车占比不断扩大，扩大至1.2%，占金华18.42%</w:t>
      </w:r>
      <w:r>
        <w:rPr>
          <w:szCs w:val="32"/>
          <w:highlight w:val="none"/>
        </w:rPr>
        <w:t>。</w:t>
      </w:r>
      <w:bookmarkStart w:id="25" w:name="OLE_LINK1"/>
      <w:bookmarkStart w:id="26" w:name="OLE_LINK2"/>
      <w:r>
        <w:rPr>
          <w:rFonts w:hint="eastAsia"/>
          <w:szCs w:val="32"/>
          <w:highlight w:val="none"/>
        </w:rPr>
        <w:t>其中，</w:t>
      </w:r>
      <w:r>
        <w:rPr>
          <w:rFonts w:cs="Times New Roman"/>
          <w:snapToGrid w:val="0"/>
          <w:szCs w:val="32"/>
          <w:highlight w:val="none"/>
        </w:rPr>
        <w:t>电动公交车</w:t>
      </w:r>
      <w:r>
        <w:rPr>
          <w:rFonts w:hint="eastAsia" w:cs="Times New Roman"/>
          <w:snapToGrid w:val="0"/>
          <w:szCs w:val="32"/>
          <w:highlight w:val="none"/>
        </w:rPr>
        <w:t>880</w:t>
      </w:r>
      <w:r>
        <w:rPr>
          <w:rFonts w:cs="Times New Roman"/>
          <w:snapToGrid w:val="0"/>
          <w:szCs w:val="32"/>
          <w:highlight w:val="none"/>
        </w:rPr>
        <w:t>辆</w:t>
      </w:r>
      <w:r>
        <w:rPr>
          <w:rFonts w:hint="eastAsia" w:cs="Times New Roman"/>
          <w:snapToGrid w:val="0"/>
          <w:szCs w:val="32"/>
          <w:highlight w:val="none"/>
        </w:rPr>
        <w:t>，占金华市55.63%</w:t>
      </w:r>
      <w:r>
        <w:rPr>
          <w:rFonts w:cs="Times New Roman"/>
          <w:snapToGrid w:val="0"/>
          <w:szCs w:val="32"/>
          <w:highlight w:val="none"/>
        </w:rPr>
        <w:t>，电动</w:t>
      </w:r>
      <w:r>
        <w:rPr>
          <w:rFonts w:hint="eastAsia" w:cs="Times New Roman"/>
          <w:snapToGrid w:val="0"/>
          <w:szCs w:val="32"/>
          <w:highlight w:val="none"/>
        </w:rPr>
        <w:t>出租车737</w:t>
      </w:r>
      <w:r>
        <w:rPr>
          <w:rFonts w:cs="Times New Roman"/>
          <w:snapToGrid w:val="0"/>
          <w:szCs w:val="32"/>
          <w:highlight w:val="none"/>
        </w:rPr>
        <w:t>辆</w:t>
      </w:r>
      <w:bookmarkEnd w:id="25"/>
      <w:bookmarkEnd w:id="26"/>
      <w:r>
        <w:rPr>
          <w:rFonts w:hint="eastAsia" w:cs="Times New Roman"/>
          <w:snapToGrid w:val="0"/>
          <w:szCs w:val="32"/>
          <w:highlight w:val="none"/>
        </w:rPr>
        <w:t>，占金华市75.13%，电动汽车推广数量居金华市前列</w:t>
      </w:r>
      <w:r>
        <w:rPr>
          <w:rFonts w:cs="Times New Roman"/>
          <w:snapToGrid w:val="0"/>
          <w:szCs w:val="32"/>
          <w:highlight w:val="none"/>
        </w:rPr>
        <w:t>。</w:t>
      </w:r>
    </w:p>
    <w:p>
      <w:pPr>
        <w:keepNext w:val="0"/>
        <w:keepLines w:val="0"/>
        <w:pageBreakBefore w:val="0"/>
        <w:widowControl w:val="0"/>
        <w:kinsoku/>
        <w:wordWrap/>
        <w:overflowPunct/>
        <w:topLinePunct w:val="0"/>
        <w:bidi w:val="0"/>
        <w:adjustRightInd w:val="0"/>
        <w:snapToGrid w:val="0"/>
        <w:spacing w:line="560" w:lineRule="exact"/>
        <w:ind w:firstLine="640"/>
        <w:textAlignment w:val="auto"/>
        <w:rPr>
          <w:szCs w:val="32"/>
          <w:highlight w:val="none"/>
        </w:rPr>
      </w:pPr>
      <w:r>
        <w:rPr>
          <w:rFonts w:hint="eastAsia"/>
          <w:b/>
          <w:bCs/>
          <w:szCs w:val="32"/>
          <w:highlight w:val="none"/>
        </w:rPr>
        <w:t>充电基础设施快速发展</w:t>
      </w:r>
      <w:r>
        <w:rPr>
          <w:rFonts w:hint="eastAsia"/>
          <w:b/>
          <w:bCs/>
          <w:szCs w:val="32"/>
          <w:highlight w:val="none"/>
          <w:lang w:eastAsia="zh-CN"/>
        </w:rPr>
        <w:t>。</w:t>
      </w:r>
      <w:r>
        <w:rPr>
          <w:rFonts w:hint="eastAsia"/>
          <w:szCs w:val="32"/>
          <w:highlight w:val="none"/>
        </w:rPr>
        <w:t>“十三五”以来，</w:t>
      </w:r>
      <w:r>
        <w:rPr>
          <w:rFonts w:hint="eastAsia" w:cs="Times New Roman"/>
          <w:snapToGrid w:val="0"/>
          <w:color w:val="000000"/>
          <w:szCs w:val="32"/>
          <w:highlight w:val="none"/>
        </w:rPr>
        <w:t>义乌</w:t>
      </w:r>
      <w:r>
        <w:rPr>
          <w:rFonts w:cs="Times New Roman"/>
          <w:snapToGrid w:val="0"/>
          <w:color w:val="000000"/>
          <w:szCs w:val="32"/>
          <w:highlight w:val="none"/>
        </w:rPr>
        <w:t>市</w:t>
      </w:r>
      <w:r>
        <w:rPr>
          <w:rFonts w:hint="eastAsia" w:cs="Times New Roman"/>
          <w:szCs w:val="32"/>
          <w:highlight w:val="none"/>
        </w:rPr>
        <w:t>按照“桩站先行”的要求，</w:t>
      </w:r>
      <w:r>
        <w:rPr>
          <w:rFonts w:hint="eastAsia"/>
          <w:szCs w:val="32"/>
          <w:highlight w:val="none"/>
        </w:rPr>
        <w:t>截至</w:t>
      </w:r>
      <w:r>
        <w:rPr>
          <w:szCs w:val="32"/>
          <w:highlight w:val="none"/>
        </w:rPr>
        <w:t>20</w:t>
      </w:r>
      <w:r>
        <w:rPr>
          <w:rFonts w:hint="eastAsia"/>
          <w:szCs w:val="32"/>
          <w:highlight w:val="none"/>
        </w:rPr>
        <w:t>20</w:t>
      </w:r>
      <w:r>
        <w:rPr>
          <w:szCs w:val="32"/>
          <w:highlight w:val="none"/>
        </w:rPr>
        <w:t>年底，</w:t>
      </w:r>
      <w:r>
        <w:rPr>
          <w:rFonts w:hint="eastAsia"/>
          <w:szCs w:val="32"/>
          <w:highlight w:val="none"/>
        </w:rPr>
        <w:t>全市已建成公共领域充换电站90座、公共领域充电桩1308个，自用充电桩938个，分别完成“十三五”规划目标的135.54%和61.71%</w:t>
      </w:r>
      <w:r>
        <w:rPr>
          <w:rFonts w:hint="eastAsia"/>
          <w:szCs w:val="32"/>
          <w:highlight w:val="none"/>
          <w:lang w:eastAsia="zh-CN"/>
        </w:rPr>
        <w:t>，</w:t>
      </w:r>
      <w:r>
        <w:rPr>
          <w:rFonts w:hint="eastAsia"/>
          <w:szCs w:val="32"/>
          <w:highlight w:val="none"/>
          <w:lang w:val="en-US" w:eastAsia="zh-CN"/>
        </w:rPr>
        <w:t>远高于其他各县市区（如图4）</w:t>
      </w:r>
      <w:r>
        <w:rPr>
          <w:rFonts w:hint="eastAsia"/>
          <w:szCs w:val="32"/>
          <w:highlight w:val="none"/>
        </w:rPr>
        <w:t>。其中，公交车专用充换电站</w:t>
      </w:r>
      <w:r>
        <w:rPr>
          <w:szCs w:val="32"/>
          <w:highlight w:val="none"/>
        </w:rPr>
        <w:t>9</w:t>
      </w:r>
      <w:r>
        <w:rPr>
          <w:rFonts w:hint="eastAsia"/>
          <w:szCs w:val="32"/>
          <w:highlight w:val="none"/>
        </w:rPr>
        <w:t>座，公交专用充电桩279个。从车桩匹配的情况来看，义乌市公共充电桩密度达到1.18个</w:t>
      </w:r>
      <w:r>
        <w:rPr>
          <w:szCs w:val="32"/>
          <w:highlight w:val="none"/>
        </w:rPr>
        <w:t>/</w:t>
      </w:r>
      <w:r>
        <w:rPr>
          <w:rFonts w:hint="eastAsia"/>
          <w:szCs w:val="32"/>
          <w:highlight w:val="none"/>
        </w:rPr>
        <w:t>平方公里，公共充电桩服务半径为1.19公里，</w:t>
      </w:r>
      <w:r>
        <w:rPr>
          <w:rFonts w:hint="eastAsia"/>
          <w:szCs w:val="32"/>
          <w:highlight w:val="none"/>
          <w:lang w:val="en-US" w:eastAsia="zh-CN"/>
        </w:rPr>
        <w:t>核心区域充电桩服务半径在0.97公里之间，</w:t>
      </w:r>
      <w:r>
        <w:rPr>
          <w:rFonts w:hint="eastAsia"/>
          <w:szCs w:val="32"/>
          <w:highlight w:val="none"/>
        </w:rPr>
        <w:t>车桩比6.55:1，相较于浙江省和金华市的9:1和14.55，充电服务半径和车桩比居全省前列。</w:t>
      </w:r>
    </w:p>
    <w:p>
      <w:pPr>
        <w:spacing w:line="590" w:lineRule="exact"/>
        <w:ind w:firstLine="640"/>
        <w:rPr>
          <w:szCs w:val="32"/>
          <w:highlight w:val="none"/>
        </w:rPr>
      </w:pPr>
    </w:p>
    <w:p>
      <w:pPr>
        <w:pStyle w:val="2"/>
        <w:spacing w:line="240" w:lineRule="auto"/>
        <w:ind w:firstLine="0" w:firstLineChars="0"/>
        <w:jc w:val="center"/>
        <w:rPr>
          <w:highlight w:val="none"/>
        </w:rPr>
      </w:pPr>
      <w:r>
        <w:drawing>
          <wp:inline distT="0" distB="0" distL="114300" distR="114300">
            <wp:extent cx="5273040" cy="3232785"/>
            <wp:effectExtent l="0" t="0" r="3810" b="57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6"/>
                    <a:stretch>
                      <a:fillRect/>
                    </a:stretch>
                  </pic:blipFill>
                  <pic:spPr>
                    <a:xfrm>
                      <a:off x="0" y="0"/>
                      <a:ext cx="5273040" cy="3232785"/>
                    </a:xfrm>
                    <a:prstGeom prst="rect">
                      <a:avLst/>
                    </a:prstGeom>
                    <a:noFill/>
                    <a:ln>
                      <a:noFill/>
                    </a:ln>
                  </pic:spPr>
                </pic:pic>
              </a:graphicData>
            </a:graphic>
          </wp:inline>
        </w:drawing>
      </w:r>
    </w:p>
    <w:p>
      <w:pPr>
        <w:pStyle w:val="2"/>
        <w:spacing w:line="240" w:lineRule="auto"/>
        <w:ind w:firstLine="0" w:firstLineChars="0"/>
        <w:jc w:val="center"/>
        <w:rPr>
          <w:b/>
          <w:bCs w:val="0"/>
          <w:highlight w:val="none"/>
        </w:rPr>
      </w:pPr>
      <w:r>
        <w:rPr>
          <w:rFonts w:hint="eastAsia"/>
          <w:b/>
          <w:bCs w:val="0"/>
          <w:highlight w:val="none"/>
        </w:rPr>
        <w:t>图2 义乌市“十三五”新能源汽车保有量走势图和占比</w:t>
      </w:r>
    </w:p>
    <w:p>
      <w:pPr>
        <w:pStyle w:val="2"/>
        <w:spacing w:line="240" w:lineRule="auto"/>
        <w:ind w:firstLine="0" w:firstLineChars="0"/>
        <w:jc w:val="center"/>
        <w:rPr>
          <w:b/>
          <w:bCs w:val="0"/>
          <w:highlight w:val="none"/>
        </w:rPr>
      </w:pPr>
    </w:p>
    <w:p>
      <w:pPr>
        <w:pStyle w:val="2"/>
        <w:spacing w:line="240" w:lineRule="auto"/>
        <w:ind w:firstLine="0" w:firstLineChars="0"/>
        <w:rPr>
          <w:highlight w:val="none"/>
        </w:rPr>
      </w:pPr>
      <w:r>
        <w:rPr>
          <w:highlight w:val="none"/>
        </w:rPr>
        <w:drawing>
          <wp:inline distT="0" distB="0" distL="114300" distR="114300">
            <wp:extent cx="5635625" cy="3160395"/>
            <wp:effectExtent l="0" t="0" r="3175" b="190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7"/>
                    <a:stretch>
                      <a:fillRect/>
                    </a:stretch>
                  </pic:blipFill>
                  <pic:spPr>
                    <a:xfrm>
                      <a:off x="0" y="0"/>
                      <a:ext cx="5635625" cy="3160395"/>
                    </a:xfrm>
                    <a:prstGeom prst="rect">
                      <a:avLst/>
                    </a:prstGeom>
                    <a:noFill/>
                    <a:ln>
                      <a:noFill/>
                    </a:ln>
                  </pic:spPr>
                </pic:pic>
              </a:graphicData>
            </a:graphic>
          </wp:inline>
        </w:drawing>
      </w:r>
    </w:p>
    <w:p>
      <w:pPr>
        <w:pStyle w:val="2"/>
        <w:spacing w:line="240" w:lineRule="auto"/>
        <w:ind w:firstLine="0" w:firstLineChars="0"/>
        <w:jc w:val="center"/>
        <w:rPr>
          <w:b/>
          <w:bCs w:val="0"/>
          <w:highlight w:val="none"/>
        </w:rPr>
      </w:pPr>
      <w:r>
        <w:rPr>
          <w:rFonts w:hint="eastAsia"/>
          <w:b/>
          <w:bCs w:val="0"/>
          <w:highlight w:val="none"/>
        </w:rPr>
        <w:t>图3 义乌市电动汽车保有量情况</w:t>
      </w:r>
    </w:p>
    <w:p>
      <w:pPr>
        <w:pStyle w:val="2"/>
        <w:spacing w:line="240" w:lineRule="auto"/>
        <w:ind w:firstLine="0" w:firstLineChars="0"/>
        <w:jc w:val="center"/>
        <w:rPr>
          <w:rFonts w:hint="eastAsia"/>
          <w:b/>
          <w:bCs w:val="0"/>
          <w:highlight w:val="none"/>
        </w:rPr>
      </w:pPr>
    </w:p>
    <w:p>
      <w:pPr>
        <w:pStyle w:val="2"/>
        <w:spacing w:line="240" w:lineRule="auto"/>
        <w:ind w:firstLine="0" w:firstLineChars="0"/>
        <w:jc w:val="center"/>
        <w:rPr>
          <w:rFonts w:hint="eastAsia"/>
          <w:b/>
          <w:bCs w:val="0"/>
          <w:highlight w:val="none"/>
        </w:rPr>
      </w:pPr>
    </w:p>
    <w:p>
      <w:pPr>
        <w:pStyle w:val="2"/>
        <w:spacing w:line="240" w:lineRule="auto"/>
        <w:ind w:firstLine="0" w:firstLineChars="0"/>
        <w:jc w:val="center"/>
        <w:rPr>
          <w:rFonts w:hint="eastAsia"/>
          <w:b/>
          <w:bCs w:val="0"/>
          <w:highlight w:val="none"/>
        </w:rPr>
      </w:pPr>
    </w:p>
    <w:p>
      <w:pPr>
        <w:pStyle w:val="2"/>
        <w:spacing w:line="240" w:lineRule="auto"/>
        <w:ind w:firstLine="0" w:firstLineChars="0"/>
        <w:jc w:val="center"/>
        <w:rPr>
          <w:b/>
          <w:bCs w:val="0"/>
          <w:highlight w:val="none"/>
        </w:rPr>
      </w:pPr>
      <w:r>
        <w:rPr>
          <w:rFonts w:hint="eastAsia"/>
          <w:b/>
          <w:bCs w:val="0"/>
          <w:highlight w:val="none"/>
        </w:rPr>
        <w:t>表1 义乌市公共领域专用充电桩（站）</w:t>
      </w:r>
    </w:p>
    <w:tbl>
      <w:tblPr>
        <w:tblStyle w:val="15"/>
        <w:tblW w:w="8342" w:type="dxa"/>
        <w:tblInd w:w="0" w:type="dxa"/>
        <w:tblLayout w:type="fixed"/>
        <w:tblCellMar>
          <w:top w:w="0" w:type="dxa"/>
          <w:left w:w="0" w:type="dxa"/>
          <w:bottom w:w="0" w:type="dxa"/>
          <w:right w:w="0" w:type="dxa"/>
        </w:tblCellMar>
      </w:tblPr>
      <w:tblGrid>
        <w:gridCol w:w="2735"/>
        <w:gridCol w:w="1121"/>
        <w:gridCol w:w="1121"/>
        <w:gridCol w:w="1121"/>
        <w:gridCol w:w="1122"/>
        <w:gridCol w:w="1122"/>
      </w:tblGrid>
      <w:tr>
        <w:tblPrEx>
          <w:tblCellMar>
            <w:top w:w="0" w:type="dxa"/>
            <w:left w:w="0" w:type="dxa"/>
            <w:bottom w:w="0" w:type="dxa"/>
            <w:right w:w="0" w:type="dxa"/>
          </w:tblCellMar>
        </w:tblPrEx>
        <w:trPr>
          <w:trHeight w:val="315" w:hRule="atLeast"/>
        </w:trPr>
        <w:tc>
          <w:tcPr>
            <w:tcW w:w="2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cs="仿宋_GB2312"/>
                <w:color w:val="000000"/>
                <w:sz w:val="24"/>
                <w:szCs w:val="24"/>
                <w:highlight w:val="none"/>
              </w:rPr>
            </w:pP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2016</w:t>
            </w:r>
            <w:r>
              <w:rPr>
                <w:rStyle w:val="41"/>
                <w:rFonts w:hint="default" w:ascii="Times New Roman" w:hAnsi="Times New Roman" w:eastAsia="仿宋_GB2312" w:cs="仿宋_GB2312"/>
                <w:highlight w:val="none"/>
              </w:rPr>
              <w:t>年</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2017</w:t>
            </w:r>
            <w:r>
              <w:rPr>
                <w:rStyle w:val="41"/>
                <w:rFonts w:hint="default" w:ascii="Times New Roman" w:hAnsi="Times New Roman" w:eastAsia="仿宋_GB2312" w:cs="仿宋_GB2312"/>
                <w:highlight w:val="none"/>
              </w:rPr>
              <w:t>年</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2018</w:t>
            </w:r>
            <w:r>
              <w:rPr>
                <w:rStyle w:val="41"/>
                <w:rFonts w:hint="default" w:ascii="Times New Roman" w:hAnsi="Times New Roman" w:eastAsia="仿宋_GB2312" w:cs="仿宋_GB2312"/>
                <w:highlight w:val="none"/>
              </w:rPr>
              <w:t>年</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2019</w:t>
            </w:r>
            <w:r>
              <w:rPr>
                <w:rStyle w:val="41"/>
                <w:rFonts w:hint="default" w:ascii="Times New Roman" w:hAnsi="Times New Roman" w:eastAsia="仿宋_GB2312" w:cs="仿宋_GB2312"/>
                <w:highlight w:val="none"/>
              </w:rPr>
              <w:t>年</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2020</w:t>
            </w:r>
            <w:r>
              <w:rPr>
                <w:rStyle w:val="41"/>
                <w:rFonts w:hint="default" w:ascii="Times New Roman" w:hAnsi="Times New Roman" w:eastAsia="仿宋_GB2312" w:cs="仿宋_GB2312"/>
                <w:highlight w:val="none"/>
              </w:rPr>
              <w:t>年</w:t>
            </w:r>
          </w:p>
        </w:tc>
      </w:tr>
      <w:tr>
        <w:tblPrEx>
          <w:tblCellMar>
            <w:top w:w="0" w:type="dxa"/>
            <w:left w:w="0" w:type="dxa"/>
            <w:bottom w:w="0" w:type="dxa"/>
            <w:right w:w="0" w:type="dxa"/>
          </w:tblCellMar>
        </w:tblPrEx>
        <w:trPr>
          <w:trHeight w:val="315" w:hRule="atLeast"/>
        </w:trPr>
        <w:tc>
          <w:tcPr>
            <w:tcW w:w="2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新能源公交车保有量（辆）</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129</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398</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612</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714</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880</w:t>
            </w:r>
          </w:p>
        </w:tc>
      </w:tr>
      <w:tr>
        <w:tblPrEx>
          <w:tblCellMar>
            <w:top w:w="0" w:type="dxa"/>
            <w:left w:w="0" w:type="dxa"/>
            <w:bottom w:w="0" w:type="dxa"/>
            <w:right w:w="0" w:type="dxa"/>
          </w:tblCellMar>
        </w:tblPrEx>
        <w:trPr>
          <w:trHeight w:val="315" w:hRule="atLeast"/>
        </w:trPr>
        <w:tc>
          <w:tcPr>
            <w:tcW w:w="2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Style w:val="42"/>
                <w:rFonts w:hint="default" w:ascii="Times New Roman" w:hAnsi="Times New Roman" w:eastAsia="仿宋_GB2312" w:cs="仿宋_GB2312"/>
                <w:highlight w:val="none"/>
              </w:rPr>
              <w:t>公交车专用充电桩（个）</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7</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121</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130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158</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279</w:t>
            </w:r>
          </w:p>
        </w:tc>
      </w:tr>
      <w:tr>
        <w:tblPrEx>
          <w:tblCellMar>
            <w:top w:w="0" w:type="dxa"/>
            <w:left w:w="0" w:type="dxa"/>
            <w:bottom w:w="0" w:type="dxa"/>
            <w:right w:w="0" w:type="dxa"/>
          </w:tblCellMar>
        </w:tblPrEx>
        <w:trPr>
          <w:trHeight w:val="315" w:hRule="atLeast"/>
        </w:trPr>
        <w:tc>
          <w:tcPr>
            <w:tcW w:w="2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公交车专用充换电站（座）</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0</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6</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1</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1</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1</w:t>
            </w:r>
          </w:p>
        </w:tc>
      </w:tr>
      <w:tr>
        <w:tblPrEx>
          <w:tblCellMar>
            <w:top w:w="0" w:type="dxa"/>
            <w:left w:w="0" w:type="dxa"/>
            <w:bottom w:w="0" w:type="dxa"/>
            <w:right w:w="0" w:type="dxa"/>
          </w:tblCellMar>
        </w:tblPrEx>
        <w:trPr>
          <w:trHeight w:val="315" w:hRule="atLeast"/>
        </w:trPr>
        <w:tc>
          <w:tcPr>
            <w:tcW w:w="2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Style w:val="42"/>
                <w:rFonts w:hint="default" w:ascii="Times New Roman" w:hAnsi="Times New Roman" w:eastAsia="仿宋_GB2312" w:cs="仿宋_GB2312"/>
                <w:highlight w:val="none"/>
              </w:rPr>
              <w:t>新能源出租车保有量</w:t>
            </w:r>
            <w:r>
              <w:rPr>
                <w:rFonts w:hint="eastAsia" w:cs="仿宋_GB2312"/>
                <w:color w:val="000000"/>
                <w:kern w:val="0"/>
                <w:sz w:val="24"/>
                <w:szCs w:val="24"/>
                <w:highlight w:val="none"/>
              </w:rPr>
              <w:t>（辆）</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0</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0</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rPr>
                <w:rFonts w:hint="default" w:eastAsia="仿宋_GB2312" w:cs="仿宋_GB2312"/>
                <w:color w:val="000000"/>
                <w:sz w:val="24"/>
                <w:szCs w:val="24"/>
                <w:highlight w:val="none"/>
                <w:lang w:val="en-US" w:eastAsia="zh-CN"/>
              </w:rPr>
            </w:pPr>
            <w:r>
              <w:rPr>
                <w:rFonts w:hint="eastAsia" w:cs="仿宋_GB2312"/>
                <w:color w:val="000000"/>
                <w:sz w:val="24"/>
                <w:szCs w:val="24"/>
                <w:highlight w:val="none"/>
                <w:lang w:val="en-US" w:eastAsia="zh-CN"/>
              </w:rPr>
              <w:t>50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eastAsia="仿宋_GB2312" w:cs="仿宋_GB2312"/>
                <w:color w:val="000000"/>
                <w:sz w:val="24"/>
                <w:szCs w:val="24"/>
                <w:highlight w:val="none"/>
                <w:lang w:eastAsia="zh-CN"/>
              </w:rPr>
            </w:pPr>
            <w:r>
              <w:rPr>
                <w:rFonts w:hint="eastAsia" w:cs="仿宋_GB2312"/>
                <w:color w:val="000000"/>
                <w:kern w:val="0"/>
                <w:sz w:val="24"/>
                <w:szCs w:val="24"/>
                <w:highlight w:val="none"/>
              </w:rPr>
              <w:t>73</w:t>
            </w:r>
            <w:r>
              <w:rPr>
                <w:rFonts w:hint="eastAsia" w:cs="仿宋_GB2312"/>
                <w:color w:val="000000"/>
                <w:kern w:val="0"/>
                <w:sz w:val="24"/>
                <w:szCs w:val="24"/>
                <w:highlight w:val="none"/>
                <w:lang w:val="en-US" w:eastAsia="zh-CN"/>
              </w:rPr>
              <w:t>3</w:t>
            </w:r>
          </w:p>
        </w:tc>
      </w:tr>
      <w:tr>
        <w:tblPrEx>
          <w:tblCellMar>
            <w:top w:w="0" w:type="dxa"/>
            <w:left w:w="0" w:type="dxa"/>
            <w:bottom w:w="0" w:type="dxa"/>
            <w:right w:w="0" w:type="dxa"/>
          </w:tblCellMar>
        </w:tblPrEx>
        <w:trPr>
          <w:trHeight w:val="315" w:hRule="atLeast"/>
        </w:trPr>
        <w:tc>
          <w:tcPr>
            <w:tcW w:w="2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Style w:val="42"/>
                <w:rFonts w:hint="default" w:ascii="Times New Roman" w:hAnsi="Times New Roman" w:eastAsia="仿宋_GB2312" w:cs="仿宋_GB2312"/>
                <w:highlight w:val="none"/>
              </w:rPr>
              <w:t>出租车专用充电桩（个）</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0</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0</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116</w:t>
            </w:r>
          </w:p>
        </w:tc>
      </w:tr>
      <w:tr>
        <w:tblPrEx>
          <w:tblCellMar>
            <w:top w:w="0" w:type="dxa"/>
            <w:left w:w="0" w:type="dxa"/>
            <w:bottom w:w="0" w:type="dxa"/>
            <w:right w:w="0" w:type="dxa"/>
          </w:tblCellMar>
        </w:tblPrEx>
        <w:trPr>
          <w:trHeight w:val="315" w:hRule="atLeast"/>
        </w:trPr>
        <w:tc>
          <w:tcPr>
            <w:tcW w:w="27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Style w:val="42"/>
                <w:rFonts w:hint="default" w:ascii="Times New Roman" w:hAnsi="Times New Roman" w:eastAsia="仿宋_GB2312" w:cs="仿宋_GB2312"/>
                <w:highlight w:val="none"/>
              </w:rPr>
              <w:t>出租车专用充换电站（座）</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0</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0</w:t>
            </w:r>
          </w:p>
        </w:tc>
        <w:tc>
          <w:tcPr>
            <w:tcW w:w="112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0</w:t>
            </w:r>
          </w:p>
        </w:tc>
        <w:tc>
          <w:tcPr>
            <w:tcW w:w="112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8</w:t>
            </w:r>
          </w:p>
        </w:tc>
      </w:tr>
    </w:tbl>
    <w:p>
      <w:pPr>
        <w:pStyle w:val="2"/>
        <w:spacing w:line="240" w:lineRule="auto"/>
        <w:ind w:firstLine="0" w:firstLineChars="0"/>
        <w:rPr>
          <w:b/>
          <w:bCs w:val="0"/>
          <w:highlight w:val="none"/>
        </w:rPr>
      </w:pPr>
    </w:p>
    <w:p>
      <w:pPr>
        <w:pStyle w:val="2"/>
        <w:spacing w:line="240" w:lineRule="auto"/>
        <w:ind w:firstLine="0" w:firstLineChars="0"/>
      </w:pPr>
      <w:r>
        <w:drawing>
          <wp:inline distT="0" distB="0" distL="114300" distR="114300">
            <wp:extent cx="5268595" cy="4090035"/>
            <wp:effectExtent l="0" t="0" r="8255" b="571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8"/>
                    <a:stretch>
                      <a:fillRect/>
                    </a:stretch>
                  </pic:blipFill>
                  <pic:spPr>
                    <a:xfrm>
                      <a:off x="0" y="0"/>
                      <a:ext cx="5268595" cy="4090035"/>
                    </a:xfrm>
                    <a:prstGeom prst="rect">
                      <a:avLst/>
                    </a:prstGeom>
                    <a:noFill/>
                    <a:ln>
                      <a:noFill/>
                    </a:ln>
                  </pic:spPr>
                </pic:pic>
              </a:graphicData>
            </a:graphic>
          </wp:inline>
        </w:drawing>
      </w:r>
    </w:p>
    <w:p>
      <w:pPr>
        <w:pStyle w:val="2"/>
        <w:spacing w:line="240" w:lineRule="auto"/>
        <w:ind w:firstLine="0" w:firstLineChars="0"/>
        <w:jc w:val="center"/>
        <w:rPr>
          <w:rFonts w:hint="eastAsia"/>
          <w:lang w:val="en-US" w:eastAsia="zh-CN"/>
        </w:rPr>
      </w:pPr>
      <w:r>
        <w:rPr>
          <w:rFonts w:hint="eastAsia"/>
          <w:b/>
          <w:bCs w:val="0"/>
          <w:highlight w:val="none"/>
        </w:rPr>
        <w:t>图</w:t>
      </w:r>
      <w:r>
        <w:rPr>
          <w:rFonts w:hint="eastAsia"/>
          <w:b/>
          <w:bCs w:val="0"/>
          <w:highlight w:val="none"/>
          <w:lang w:val="en-US" w:eastAsia="zh-CN"/>
        </w:rPr>
        <w:t>4</w:t>
      </w:r>
      <w:r>
        <w:rPr>
          <w:rFonts w:hint="eastAsia"/>
          <w:b/>
          <w:bCs w:val="0"/>
          <w:highlight w:val="none"/>
        </w:rPr>
        <w:t xml:space="preserve"> </w:t>
      </w:r>
      <w:r>
        <w:rPr>
          <w:rFonts w:hint="eastAsia"/>
          <w:b/>
          <w:bCs w:val="0"/>
          <w:highlight w:val="none"/>
          <w:lang w:eastAsia="zh-CN"/>
        </w:rPr>
        <w:t>金华</w:t>
      </w:r>
      <w:r>
        <w:rPr>
          <w:rFonts w:hint="eastAsia"/>
          <w:b/>
          <w:bCs w:val="0"/>
          <w:highlight w:val="none"/>
        </w:rPr>
        <w:t>市公共充电桩</w:t>
      </w:r>
      <w:r>
        <w:rPr>
          <w:rFonts w:hint="eastAsia"/>
          <w:b/>
          <w:bCs w:val="0"/>
          <w:highlight w:val="none"/>
          <w:lang w:eastAsia="zh-CN"/>
        </w:rPr>
        <w:t>布局</w:t>
      </w:r>
      <w:r>
        <w:rPr>
          <w:rFonts w:hint="eastAsia"/>
          <w:b/>
          <w:bCs w:val="0"/>
          <w:highlight w:val="none"/>
          <w:lang w:val="en-US" w:eastAsia="zh-CN"/>
        </w:rPr>
        <w:t>图</w:t>
      </w:r>
    </w:p>
    <w:p>
      <w:pPr>
        <w:pStyle w:val="2"/>
        <w:spacing w:line="240" w:lineRule="auto"/>
        <w:ind w:firstLine="0" w:firstLineChars="0"/>
      </w:pPr>
      <w:r>
        <w:drawing>
          <wp:inline distT="0" distB="0" distL="114300" distR="114300">
            <wp:extent cx="5269230" cy="4334510"/>
            <wp:effectExtent l="0" t="0" r="7620" b="889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19"/>
                    <a:stretch>
                      <a:fillRect/>
                    </a:stretch>
                  </pic:blipFill>
                  <pic:spPr>
                    <a:xfrm>
                      <a:off x="0" y="0"/>
                      <a:ext cx="5269230" cy="4334510"/>
                    </a:xfrm>
                    <a:prstGeom prst="rect">
                      <a:avLst/>
                    </a:prstGeom>
                    <a:noFill/>
                    <a:ln>
                      <a:noFill/>
                    </a:ln>
                  </pic:spPr>
                </pic:pic>
              </a:graphicData>
            </a:graphic>
          </wp:inline>
        </w:drawing>
      </w:r>
    </w:p>
    <w:p>
      <w:pPr>
        <w:pStyle w:val="2"/>
        <w:spacing w:line="240" w:lineRule="auto"/>
        <w:ind w:firstLine="0" w:firstLineChars="0"/>
        <w:jc w:val="center"/>
        <w:rPr>
          <w:rFonts w:hint="eastAsia"/>
          <w:lang w:val="en-US" w:eastAsia="zh-CN"/>
        </w:rPr>
      </w:pPr>
      <w:r>
        <w:rPr>
          <w:rFonts w:hint="eastAsia"/>
          <w:b/>
          <w:bCs w:val="0"/>
          <w:highlight w:val="none"/>
        </w:rPr>
        <w:t>图</w:t>
      </w:r>
      <w:r>
        <w:rPr>
          <w:rFonts w:hint="eastAsia"/>
          <w:b/>
          <w:bCs w:val="0"/>
          <w:highlight w:val="none"/>
          <w:lang w:val="en-US" w:eastAsia="zh-CN"/>
        </w:rPr>
        <w:t>5</w:t>
      </w:r>
      <w:r>
        <w:rPr>
          <w:rFonts w:hint="eastAsia"/>
          <w:b/>
          <w:bCs w:val="0"/>
          <w:highlight w:val="none"/>
        </w:rPr>
        <w:t xml:space="preserve"> </w:t>
      </w:r>
      <w:r>
        <w:rPr>
          <w:rFonts w:hint="eastAsia"/>
          <w:b/>
          <w:bCs w:val="0"/>
          <w:highlight w:val="none"/>
          <w:lang w:eastAsia="zh-CN"/>
        </w:rPr>
        <w:t>义乌</w:t>
      </w:r>
      <w:r>
        <w:rPr>
          <w:rFonts w:hint="eastAsia"/>
          <w:b/>
          <w:bCs w:val="0"/>
          <w:highlight w:val="none"/>
        </w:rPr>
        <w:t>市公共充电桩</w:t>
      </w:r>
      <w:r>
        <w:rPr>
          <w:rFonts w:hint="eastAsia"/>
          <w:b/>
          <w:bCs w:val="0"/>
          <w:highlight w:val="none"/>
          <w:lang w:eastAsia="zh-CN"/>
        </w:rPr>
        <w:t>布局</w:t>
      </w:r>
      <w:r>
        <w:rPr>
          <w:rFonts w:hint="eastAsia"/>
          <w:b/>
          <w:bCs w:val="0"/>
          <w:highlight w:val="none"/>
          <w:lang w:val="en-US" w:eastAsia="zh-CN"/>
        </w:rPr>
        <w:t>图</w:t>
      </w:r>
    </w:p>
    <w:p>
      <w:pPr>
        <w:pStyle w:val="2"/>
        <w:spacing w:line="240" w:lineRule="auto"/>
        <w:ind w:firstLine="0" w:firstLineChars="0"/>
      </w:pP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val="0"/>
          <w:highlight w:val="none"/>
        </w:rPr>
      </w:pPr>
      <w:r>
        <w:rPr>
          <w:rFonts w:hint="eastAsia"/>
          <w:b/>
          <w:bCs w:val="0"/>
          <w:highlight w:val="none"/>
        </w:rPr>
        <w:t>表2 义乌市车桩匹配的情况</w:t>
      </w:r>
    </w:p>
    <w:tbl>
      <w:tblPr>
        <w:tblStyle w:val="15"/>
        <w:tblW w:w="8322" w:type="dxa"/>
        <w:tblInd w:w="-5" w:type="dxa"/>
        <w:tblLayout w:type="fixed"/>
        <w:tblCellMar>
          <w:top w:w="0" w:type="dxa"/>
          <w:left w:w="0" w:type="dxa"/>
          <w:bottom w:w="0" w:type="dxa"/>
          <w:right w:w="0" w:type="dxa"/>
        </w:tblCellMar>
      </w:tblPr>
      <w:tblGrid>
        <w:gridCol w:w="2911"/>
        <w:gridCol w:w="1267"/>
        <w:gridCol w:w="1096"/>
        <w:gridCol w:w="1199"/>
        <w:gridCol w:w="924"/>
        <w:gridCol w:w="925"/>
      </w:tblGrid>
      <w:tr>
        <w:tblPrEx>
          <w:tblCellMar>
            <w:top w:w="0" w:type="dxa"/>
            <w:left w:w="0" w:type="dxa"/>
            <w:bottom w:w="0" w:type="dxa"/>
            <w:right w:w="0" w:type="dxa"/>
          </w:tblCellMar>
        </w:tblPrEx>
        <w:trPr>
          <w:trHeight w:val="810" w:hRule="atLeast"/>
        </w:trPr>
        <w:tc>
          <w:tcPr>
            <w:tcW w:w="2911" w:type="dxa"/>
            <w:tcBorders>
              <w:top w:val="single" w:color="auto" w:sz="4" w:space="0"/>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2020年</w:t>
            </w:r>
          </w:p>
        </w:tc>
        <w:tc>
          <w:tcPr>
            <w:tcW w:w="1267"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公共充电基础设施（台）</w:t>
            </w:r>
          </w:p>
        </w:tc>
        <w:tc>
          <w:tcPr>
            <w:tcW w:w="109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新能源汽车保有量（万辆）</w:t>
            </w:r>
          </w:p>
        </w:tc>
        <w:tc>
          <w:tcPr>
            <w:tcW w:w="1199"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车桩比</w:t>
            </w:r>
          </w:p>
        </w:tc>
        <w:tc>
          <w:tcPr>
            <w:tcW w:w="924"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充电站（座）</w:t>
            </w:r>
          </w:p>
        </w:tc>
        <w:tc>
          <w:tcPr>
            <w:tcW w:w="925"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综合供能服务站</w:t>
            </w:r>
          </w:p>
        </w:tc>
      </w:tr>
      <w:tr>
        <w:tblPrEx>
          <w:tblCellMar>
            <w:top w:w="0" w:type="dxa"/>
            <w:left w:w="0" w:type="dxa"/>
            <w:bottom w:w="0" w:type="dxa"/>
            <w:right w:w="0" w:type="dxa"/>
          </w:tblCellMar>
        </w:tblPrEx>
        <w:trPr>
          <w:trHeight w:val="270" w:hRule="atLeast"/>
        </w:trPr>
        <w:tc>
          <w:tcPr>
            <w:tcW w:w="2911"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国家</w:t>
            </w:r>
          </w:p>
        </w:tc>
        <w:tc>
          <w:tcPr>
            <w:tcW w:w="12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807000</w:t>
            </w:r>
          </w:p>
        </w:tc>
        <w:tc>
          <w:tcPr>
            <w:tcW w:w="109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492</w:t>
            </w:r>
          </w:p>
        </w:tc>
        <w:tc>
          <w:tcPr>
            <w:tcW w:w="1199"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6</w:t>
            </w:r>
          </w:p>
        </w:tc>
        <w:tc>
          <w:tcPr>
            <w:tcW w:w="92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63600</w:t>
            </w:r>
          </w:p>
        </w:tc>
        <w:tc>
          <w:tcPr>
            <w:tcW w:w="92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sz w:val="24"/>
                <w:szCs w:val="24"/>
                <w:highlight w:val="none"/>
              </w:rPr>
              <w:t>/</w:t>
            </w:r>
          </w:p>
        </w:tc>
      </w:tr>
      <w:tr>
        <w:tblPrEx>
          <w:tblCellMar>
            <w:top w:w="0" w:type="dxa"/>
            <w:left w:w="0" w:type="dxa"/>
            <w:bottom w:w="0" w:type="dxa"/>
            <w:right w:w="0" w:type="dxa"/>
          </w:tblCellMar>
        </w:tblPrEx>
        <w:trPr>
          <w:trHeight w:val="270" w:hRule="atLeast"/>
        </w:trPr>
        <w:tc>
          <w:tcPr>
            <w:tcW w:w="2911"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浙江省</w:t>
            </w:r>
          </w:p>
        </w:tc>
        <w:tc>
          <w:tcPr>
            <w:tcW w:w="12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41128</w:t>
            </w:r>
          </w:p>
        </w:tc>
        <w:tc>
          <w:tcPr>
            <w:tcW w:w="109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43</w:t>
            </w:r>
          </w:p>
        </w:tc>
        <w:tc>
          <w:tcPr>
            <w:tcW w:w="1199"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9</w:t>
            </w:r>
          </w:p>
        </w:tc>
        <w:tc>
          <w:tcPr>
            <w:tcW w:w="92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2707</w:t>
            </w:r>
          </w:p>
        </w:tc>
        <w:tc>
          <w:tcPr>
            <w:tcW w:w="92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sz w:val="24"/>
                <w:szCs w:val="24"/>
                <w:highlight w:val="none"/>
              </w:rPr>
              <w:t>/</w:t>
            </w:r>
          </w:p>
        </w:tc>
      </w:tr>
      <w:tr>
        <w:tblPrEx>
          <w:tblCellMar>
            <w:top w:w="0" w:type="dxa"/>
            <w:left w:w="0" w:type="dxa"/>
            <w:bottom w:w="0" w:type="dxa"/>
            <w:right w:w="0" w:type="dxa"/>
          </w:tblCellMar>
        </w:tblPrEx>
        <w:trPr>
          <w:trHeight w:val="270" w:hRule="atLeast"/>
        </w:trPr>
        <w:tc>
          <w:tcPr>
            <w:tcW w:w="2911"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金华市</w:t>
            </w:r>
          </w:p>
        </w:tc>
        <w:tc>
          <w:tcPr>
            <w:tcW w:w="12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3199</w:t>
            </w:r>
          </w:p>
        </w:tc>
        <w:tc>
          <w:tcPr>
            <w:tcW w:w="109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4.653</w:t>
            </w:r>
          </w:p>
        </w:tc>
        <w:tc>
          <w:tcPr>
            <w:tcW w:w="1199"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14.55</w:t>
            </w:r>
          </w:p>
        </w:tc>
        <w:tc>
          <w:tcPr>
            <w:tcW w:w="92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222</w:t>
            </w:r>
          </w:p>
        </w:tc>
        <w:tc>
          <w:tcPr>
            <w:tcW w:w="92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43</w:t>
            </w:r>
          </w:p>
        </w:tc>
      </w:tr>
      <w:tr>
        <w:tblPrEx>
          <w:tblCellMar>
            <w:top w:w="0" w:type="dxa"/>
            <w:left w:w="0" w:type="dxa"/>
            <w:bottom w:w="0" w:type="dxa"/>
            <w:right w:w="0" w:type="dxa"/>
          </w:tblCellMar>
        </w:tblPrEx>
        <w:trPr>
          <w:trHeight w:val="270" w:hRule="atLeast"/>
        </w:trPr>
        <w:tc>
          <w:tcPr>
            <w:tcW w:w="2911" w:type="dxa"/>
            <w:tcBorders>
              <w:top w:val="nil"/>
              <w:left w:val="single" w:color="auto" w:sz="4" w:space="0"/>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义乌市</w:t>
            </w:r>
          </w:p>
        </w:tc>
        <w:tc>
          <w:tcPr>
            <w:tcW w:w="1267"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1308</w:t>
            </w:r>
          </w:p>
        </w:tc>
        <w:tc>
          <w:tcPr>
            <w:tcW w:w="1096"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0.857</w:t>
            </w:r>
          </w:p>
        </w:tc>
        <w:tc>
          <w:tcPr>
            <w:tcW w:w="1199"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b/>
                <w:color w:val="FF0000"/>
                <w:sz w:val="24"/>
                <w:szCs w:val="24"/>
                <w:highlight w:val="none"/>
              </w:rPr>
            </w:pPr>
            <w:r>
              <w:rPr>
                <w:rFonts w:hint="eastAsia" w:cs="仿宋_GB2312"/>
                <w:b/>
                <w:color w:val="auto"/>
                <w:kern w:val="0"/>
                <w:sz w:val="24"/>
                <w:szCs w:val="24"/>
                <w:highlight w:val="none"/>
              </w:rPr>
              <w:t>6.55</w:t>
            </w:r>
          </w:p>
        </w:tc>
        <w:tc>
          <w:tcPr>
            <w:tcW w:w="924"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90</w:t>
            </w:r>
          </w:p>
        </w:tc>
        <w:tc>
          <w:tcPr>
            <w:tcW w:w="92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1</w:t>
            </w:r>
          </w:p>
        </w:tc>
      </w:tr>
    </w:tbl>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bookmarkStart w:id="27" w:name="_Toc24809"/>
      <w:bookmarkStart w:id="28" w:name="_Toc6307"/>
      <w:bookmarkStart w:id="29" w:name="_Toc65252672"/>
      <w:bookmarkStart w:id="30" w:name="_Toc20856"/>
      <w:bookmarkStart w:id="31" w:name="_Toc66354657"/>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r>
        <w:drawing>
          <wp:inline distT="0" distB="0" distL="114300" distR="114300">
            <wp:extent cx="5269865" cy="4033520"/>
            <wp:effectExtent l="0" t="0" r="3175" b="5080"/>
            <wp:docPr id="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6"/>
                    <pic:cNvPicPr>
                      <a:picLocks noChangeAspect="1"/>
                    </pic:cNvPicPr>
                  </pic:nvPicPr>
                  <pic:blipFill>
                    <a:blip r:embed="rId20"/>
                    <a:stretch>
                      <a:fillRect/>
                    </a:stretch>
                  </pic:blipFill>
                  <pic:spPr>
                    <a:xfrm>
                      <a:off x="0" y="0"/>
                      <a:ext cx="5269865" cy="4033520"/>
                    </a:xfrm>
                    <a:prstGeom prst="rect">
                      <a:avLst/>
                    </a:prstGeom>
                    <a:noFill/>
                    <a:ln>
                      <a:noFill/>
                    </a:ln>
                  </pic:spPr>
                </pic:pic>
              </a:graphicData>
            </a:graphic>
          </wp:inline>
        </w:drawing>
      </w:r>
    </w:p>
    <w:p>
      <w:pPr>
        <w:pStyle w:val="2"/>
        <w:spacing w:line="240" w:lineRule="auto"/>
        <w:ind w:firstLine="0" w:firstLineChars="0"/>
        <w:jc w:val="center"/>
        <w:rPr>
          <w:rFonts w:hint="eastAsia"/>
          <w:b/>
          <w:bCs w:val="0"/>
          <w:highlight w:val="none"/>
          <w:lang w:val="en-US" w:eastAsia="zh-CN"/>
        </w:rPr>
      </w:pPr>
      <w:r>
        <w:rPr>
          <w:rFonts w:hint="eastAsia"/>
          <w:b/>
          <w:bCs w:val="0"/>
          <w:highlight w:val="none"/>
        </w:rPr>
        <w:t>图</w:t>
      </w:r>
      <w:r>
        <w:rPr>
          <w:rFonts w:hint="eastAsia"/>
          <w:b/>
          <w:bCs w:val="0"/>
          <w:highlight w:val="none"/>
          <w:lang w:val="en-US" w:eastAsia="zh-CN"/>
        </w:rPr>
        <w:t>6</w:t>
      </w:r>
      <w:r>
        <w:rPr>
          <w:rFonts w:hint="eastAsia"/>
          <w:b/>
          <w:bCs w:val="0"/>
          <w:highlight w:val="none"/>
        </w:rPr>
        <w:t xml:space="preserve"> 义乌市公共充电桩服务半径</w:t>
      </w:r>
      <w:r>
        <w:rPr>
          <w:rFonts w:hint="eastAsia"/>
          <w:b/>
          <w:bCs w:val="0"/>
          <w:highlight w:val="none"/>
          <w:lang w:val="en-US" w:eastAsia="zh-CN"/>
        </w:rPr>
        <w:t>图（1公里）</w:t>
      </w:r>
    </w:p>
    <w:p>
      <w:pPr>
        <w:pStyle w:val="2"/>
        <w:spacing w:line="240" w:lineRule="auto"/>
        <w:ind w:firstLine="0" w:firstLineChars="0"/>
        <w:jc w:val="center"/>
      </w:pPr>
      <w:r>
        <w:drawing>
          <wp:inline distT="0" distB="0" distL="114300" distR="114300">
            <wp:extent cx="4809490" cy="3818890"/>
            <wp:effectExtent l="0" t="0" r="6350" b="635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1"/>
                    <a:stretch>
                      <a:fillRect/>
                    </a:stretch>
                  </pic:blipFill>
                  <pic:spPr>
                    <a:xfrm>
                      <a:off x="0" y="0"/>
                      <a:ext cx="4809490" cy="3818890"/>
                    </a:xfrm>
                    <a:prstGeom prst="rect">
                      <a:avLst/>
                    </a:prstGeom>
                    <a:noFill/>
                    <a:ln>
                      <a:noFill/>
                    </a:ln>
                  </pic:spPr>
                </pic:pic>
              </a:graphicData>
            </a:graphic>
          </wp:inline>
        </w:drawing>
      </w:r>
    </w:p>
    <w:p>
      <w:pPr>
        <w:pStyle w:val="2"/>
        <w:spacing w:line="240" w:lineRule="auto"/>
        <w:ind w:firstLine="0" w:firstLineChars="0"/>
        <w:jc w:val="center"/>
        <w:rPr>
          <w:rFonts w:hint="eastAsia"/>
          <w:b/>
          <w:bCs w:val="0"/>
          <w:highlight w:val="none"/>
          <w:lang w:val="en-US" w:eastAsia="zh-CN"/>
        </w:rPr>
      </w:pPr>
      <w:r>
        <w:rPr>
          <w:rFonts w:hint="eastAsia"/>
          <w:b/>
          <w:bCs w:val="0"/>
          <w:highlight w:val="none"/>
        </w:rPr>
        <w:t>图</w:t>
      </w:r>
      <w:r>
        <w:rPr>
          <w:rFonts w:hint="eastAsia"/>
          <w:b/>
          <w:bCs w:val="0"/>
          <w:highlight w:val="none"/>
          <w:lang w:val="en-US" w:eastAsia="zh-CN"/>
        </w:rPr>
        <w:t>7</w:t>
      </w:r>
      <w:r>
        <w:rPr>
          <w:rFonts w:hint="eastAsia"/>
          <w:b/>
          <w:bCs w:val="0"/>
          <w:highlight w:val="none"/>
        </w:rPr>
        <w:t xml:space="preserve"> 义乌市</w:t>
      </w:r>
      <w:r>
        <w:rPr>
          <w:rFonts w:hint="eastAsia"/>
          <w:b/>
          <w:bCs w:val="0"/>
          <w:highlight w:val="none"/>
          <w:lang w:val="en-US" w:eastAsia="zh-CN"/>
        </w:rPr>
        <w:t>核心区域</w:t>
      </w:r>
      <w:r>
        <w:rPr>
          <w:rFonts w:hint="eastAsia"/>
          <w:b/>
          <w:bCs w:val="0"/>
          <w:highlight w:val="none"/>
        </w:rPr>
        <w:t>公共充电桩服务半径</w:t>
      </w:r>
      <w:r>
        <w:rPr>
          <w:rFonts w:hint="eastAsia"/>
          <w:b/>
          <w:bCs w:val="0"/>
          <w:highlight w:val="none"/>
          <w:lang w:val="en-US" w:eastAsia="zh-CN"/>
        </w:rPr>
        <w:t>图（0.5公里）</w:t>
      </w:r>
    </w:p>
    <w:p>
      <w:pPr>
        <w:pStyle w:val="2"/>
        <w:spacing w:line="240" w:lineRule="auto"/>
        <w:ind w:firstLine="0" w:firstLineChars="0"/>
        <w:jc w:val="center"/>
        <w:rPr>
          <w:rFonts w:hint="eastAsia"/>
          <w:lang w:val="en-US" w:eastAsia="zh-CN"/>
        </w:rPr>
      </w:pPr>
    </w:p>
    <w:p>
      <w:pPr>
        <w:pStyle w:val="5"/>
        <w:ind w:firstLine="643"/>
        <w:rPr>
          <w:highlight w:val="none"/>
        </w:rPr>
      </w:pPr>
      <w:r>
        <w:rPr>
          <w:rFonts w:hint="eastAsia"/>
          <w:highlight w:val="none"/>
          <w:lang w:val="en-US" w:eastAsia="zh-CN"/>
        </w:rPr>
        <w:t>4</w:t>
      </w:r>
      <w:r>
        <w:rPr>
          <w:rFonts w:hint="eastAsia"/>
          <w:highlight w:val="none"/>
        </w:rPr>
        <w:t>.</w:t>
      </w:r>
      <w:r>
        <w:rPr>
          <w:highlight w:val="none"/>
        </w:rPr>
        <w:t>充电基础设施</w:t>
      </w:r>
      <w:r>
        <w:rPr>
          <w:rFonts w:hint="eastAsia"/>
          <w:highlight w:val="none"/>
        </w:rPr>
        <w:t>运营</w:t>
      </w:r>
      <w:r>
        <w:rPr>
          <w:highlight w:val="none"/>
        </w:rPr>
        <w:t>现状</w:t>
      </w:r>
      <w:bookmarkEnd w:id="27"/>
      <w:bookmarkEnd w:id="28"/>
      <w:bookmarkEnd w:id="29"/>
      <w:bookmarkEnd w:id="30"/>
      <w:bookmarkEnd w:id="31"/>
    </w:p>
    <w:p>
      <w:pPr>
        <w:ind w:firstLine="640"/>
        <w:rPr>
          <w:rFonts w:hint="eastAsia"/>
          <w:szCs w:val="32"/>
          <w:highlight w:val="none"/>
        </w:rPr>
      </w:pPr>
      <w:r>
        <w:rPr>
          <w:rFonts w:cs="Times New Roman"/>
          <w:snapToGrid w:val="0"/>
          <w:szCs w:val="32"/>
          <w:highlight w:val="none"/>
        </w:rPr>
        <w:t>随着</w:t>
      </w:r>
      <w:r>
        <w:rPr>
          <w:rFonts w:hint="eastAsia" w:cs="Times New Roman"/>
          <w:snapToGrid w:val="0"/>
          <w:szCs w:val="32"/>
          <w:highlight w:val="none"/>
        </w:rPr>
        <w:t>义乌</w:t>
      </w:r>
      <w:r>
        <w:rPr>
          <w:rFonts w:cs="Times New Roman"/>
          <w:snapToGrid w:val="0"/>
          <w:szCs w:val="32"/>
          <w:highlight w:val="none"/>
        </w:rPr>
        <w:t>市电动汽车保有量日渐增多，在</w:t>
      </w:r>
      <w:r>
        <w:rPr>
          <w:rFonts w:hint="eastAsia" w:cs="Times New Roman"/>
          <w:snapToGrid w:val="0"/>
          <w:szCs w:val="32"/>
          <w:highlight w:val="none"/>
        </w:rPr>
        <w:t>义乌</w:t>
      </w:r>
      <w:r>
        <w:rPr>
          <w:rFonts w:cs="Times New Roman"/>
          <w:snapToGrid w:val="0"/>
          <w:szCs w:val="32"/>
          <w:highlight w:val="none"/>
        </w:rPr>
        <w:t>开展充电基础设施建设运营的企业不断涌现，包括</w:t>
      </w:r>
      <w:r>
        <w:rPr>
          <w:rFonts w:hint="eastAsia" w:cs="Times New Roman"/>
          <w:snapToGrid w:val="0"/>
          <w:szCs w:val="32"/>
          <w:highlight w:val="none"/>
        </w:rPr>
        <w:t>恒风集团、供电公司、城投集团、</w:t>
      </w:r>
      <w:r>
        <w:rPr>
          <w:rFonts w:hint="eastAsia" w:cs="Times New Roman"/>
          <w:snapToGrid w:val="0"/>
          <w:szCs w:val="32"/>
          <w:highlight w:val="none"/>
          <w:lang w:val="en-US" w:eastAsia="zh-CN"/>
        </w:rPr>
        <w:t>资天集团、</w:t>
      </w:r>
      <w:r>
        <w:rPr>
          <w:rFonts w:hint="eastAsia" w:cs="Times New Roman"/>
          <w:snapToGrid w:val="0"/>
          <w:szCs w:val="32"/>
          <w:highlight w:val="none"/>
        </w:rPr>
        <w:t>市场集团等</w:t>
      </w:r>
      <w:r>
        <w:rPr>
          <w:rFonts w:hint="eastAsia" w:cs="Times New Roman"/>
          <w:snapToGrid w:val="0"/>
          <w:szCs w:val="32"/>
          <w:highlight w:val="none"/>
          <w:lang w:val="en-US" w:eastAsia="zh-CN"/>
        </w:rPr>
        <w:t>5家</w:t>
      </w:r>
      <w:r>
        <w:rPr>
          <w:rFonts w:hint="eastAsia" w:cs="Times New Roman"/>
          <w:snapToGrid w:val="0"/>
          <w:szCs w:val="32"/>
          <w:highlight w:val="none"/>
        </w:rPr>
        <w:t>。目前，</w:t>
      </w:r>
      <w:r>
        <w:rPr>
          <w:rFonts w:hint="eastAsia"/>
          <w:szCs w:val="32"/>
          <w:highlight w:val="none"/>
        </w:rPr>
        <w:t>对外经营</w:t>
      </w:r>
      <w:r>
        <w:rPr>
          <w:rFonts w:hint="eastAsia" w:cs="Times New Roman"/>
          <w:snapToGrid w:val="0"/>
          <w:szCs w:val="32"/>
          <w:highlight w:val="none"/>
        </w:rPr>
        <w:t>充电基础设施运营服务平台主要有</w:t>
      </w:r>
      <w:r>
        <w:rPr>
          <w:rFonts w:hint="eastAsia"/>
          <w:szCs w:val="32"/>
          <w:highlight w:val="none"/>
        </w:rPr>
        <w:t>“网上国网”APP、“e充电”APP</w:t>
      </w:r>
      <w:r>
        <w:rPr>
          <w:rFonts w:hint="eastAsia"/>
          <w:szCs w:val="32"/>
          <w:highlight w:val="none"/>
          <w:lang w:eastAsia="zh-CN"/>
        </w:rPr>
        <w:t>、</w:t>
      </w:r>
      <w:r>
        <w:rPr>
          <w:rFonts w:hint="eastAsia"/>
          <w:szCs w:val="32"/>
          <w:highlight w:val="none"/>
        </w:rPr>
        <w:t>“义乌充电”APP、“特来电”APP、“星星充电”APP和“派诺”APP等</w:t>
      </w:r>
      <w:r>
        <w:rPr>
          <w:rFonts w:hint="eastAsia"/>
          <w:szCs w:val="32"/>
          <w:highlight w:val="none"/>
          <w:lang w:eastAsia="zh-CN"/>
        </w:rPr>
        <w:t>，均</w:t>
      </w:r>
      <w:r>
        <w:rPr>
          <w:rFonts w:hint="eastAsia"/>
          <w:szCs w:val="32"/>
          <w:highlight w:val="none"/>
        </w:rPr>
        <w:t>运营正常，公交充电桩由公交公司自行运营维护。目前，义乌市充电桩运营商已经将数据逐步接入金华绿行电动汽车服务平台</w:t>
      </w:r>
      <w:r>
        <w:rPr>
          <w:rFonts w:hint="eastAsia"/>
          <w:szCs w:val="32"/>
          <w:highlight w:val="none"/>
          <w:lang w:eastAsia="zh-CN"/>
        </w:rPr>
        <w:t>，</w:t>
      </w:r>
      <w:r>
        <w:rPr>
          <w:rFonts w:hint="eastAsia"/>
          <w:szCs w:val="32"/>
          <w:highlight w:val="none"/>
          <w:lang w:val="en-US" w:eastAsia="zh-CN"/>
        </w:rPr>
        <w:t>接入比例远高于其他县市区</w:t>
      </w:r>
      <w:r>
        <w:rPr>
          <w:rFonts w:hint="eastAsia"/>
          <w:szCs w:val="32"/>
          <w:highlight w:val="none"/>
        </w:rPr>
        <w:t>。</w:t>
      </w:r>
    </w:p>
    <w:p>
      <w:pPr>
        <w:pStyle w:val="2"/>
        <w:spacing w:line="240" w:lineRule="auto"/>
        <w:ind w:firstLine="0" w:firstLineChars="0"/>
        <w:jc w:val="center"/>
        <w:rPr>
          <w:rFonts w:hint="eastAsia"/>
          <w:b/>
          <w:bCs w:val="0"/>
          <w:highlight w:val="none"/>
          <w:lang w:val="en-US" w:eastAsia="zh-CN"/>
        </w:rPr>
      </w:pPr>
    </w:p>
    <w:p>
      <w:pPr>
        <w:pStyle w:val="2"/>
        <w:ind w:firstLine="0" w:firstLineChars="0"/>
        <w:jc w:val="center"/>
        <w:rPr>
          <w:b/>
          <w:bCs w:val="0"/>
          <w:highlight w:val="none"/>
        </w:rPr>
      </w:pPr>
      <w:r>
        <w:rPr>
          <w:rFonts w:hint="eastAsia"/>
          <w:b/>
          <w:bCs w:val="0"/>
          <w:highlight w:val="none"/>
        </w:rPr>
        <w:t>表3 义乌充电基础设施建设运营企业建设情况表</w:t>
      </w:r>
    </w:p>
    <w:tbl>
      <w:tblPr>
        <w:tblStyle w:val="15"/>
        <w:tblW w:w="8342" w:type="dxa"/>
        <w:tblInd w:w="0" w:type="dxa"/>
        <w:tblLayout w:type="fixed"/>
        <w:tblCellMar>
          <w:top w:w="0" w:type="dxa"/>
          <w:left w:w="0" w:type="dxa"/>
          <w:bottom w:w="0" w:type="dxa"/>
          <w:right w:w="0" w:type="dxa"/>
        </w:tblCellMar>
      </w:tblPr>
      <w:tblGrid>
        <w:gridCol w:w="1873"/>
        <w:gridCol w:w="3234"/>
        <w:gridCol w:w="3235"/>
      </w:tblGrid>
      <w:tr>
        <w:tblPrEx>
          <w:tblCellMar>
            <w:top w:w="0" w:type="dxa"/>
            <w:left w:w="0" w:type="dxa"/>
            <w:bottom w:w="0" w:type="dxa"/>
            <w:right w:w="0" w:type="dxa"/>
          </w:tblCellMar>
        </w:tblPrEx>
        <w:trPr>
          <w:trHeight w:val="580" w:hRule="atLeast"/>
        </w:trPr>
        <w:tc>
          <w:tcPr>
            <w:tcW w:w="18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rPr>
                <w:rFonts w:hint="default" w:cs="仿宋_GB2312"/>
                <w:color w:val="000000"/>
                <w:sz w:val="24"/>
                <w:szCs w:val="24"/>
                <w:highlight w:val="none"/>
              </w:rPr>
            </w:pPr>
          </w:p>
        </w:tc>
        <w:tc>
          <w:tcPr>
            <w:tcW w:w="3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公共领域充电桩（个）</w:t>
            </w:r>
          </w:p>
        </w:tc>
        <w:tc>
          <w:tcPr>
            <w:tcW w:w="3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公共领域充电站（座）</w:t>
            </w:r>
          </w:p>
        </w:tc>
      </w:tr>
      <w:tr>
        <w:tblPrEx>
          <w:tblCellMar>
            <w:top w:w="0" w:type="dxa"/>
            <w:left w:w="0" w:type="dxa"/>
            <w:bottom w:w="0" w:type="dxa"/>
            <w:right w:w="0" w:type="dxa"/>
          </w:tblCellMar>
        </w:tblPrEx>
        <w:trPr>
          <w:trHeight w:val="580" w:hRule="atLeast"/>
        </w:trPr>
        <w:tc>
          <w:tcPr>
            <w:tcW w:w="18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城投集团</w:t>
            </w:r>
          </w:p>
        </w:tc>
        <w:tc>
          <w:tcPr>
            <w:tcW w:w="3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334</w:t>
            </w:r>
          </w:p>
        </w:tc>
        <w:tc>
          <w:tcPr>
            <w:tcW w:w="3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9</w:t>
            </w:r>
          </w:p>
        </w:tc>
      </w:tr>
      <w:tr>
        <w:tblPrEx>
          <w:tblCellMar>
            <w:top w:w="0" w:type="dxa"/>
            <w:left w:w="0" w:type="dxa"/>
            <w:bottom w:w="0" w:type="dxa"/>
            <w:right w:w="0" w:type="dxa"/>
          </w:tblCellMar>
        </w:tblPrEx>
        <w:trPr>
          <w:trHeight w:val="580" w:hRule="atLeast"/>
        </w:trPr>
        <w:tc>
          <w:tcPr>
            <w:tcW w:w="18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恒风集团</w:t>
            </w:r>
          </w:p>
        </w:tc>
        <w:tc>
          <w:tcPr>
            <w:tcW w:w="3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265</w:t>
            </w:r>
          </w:p>
        </w:tc>
        <w:tc>
          <w:tcPr>
            <w:tcW w:w="3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16</w:t>
            </w:r>
          </w:p>
        </w:tc>
      </w:tr>
      <w:tr>
        <w:tblPrEx>
          <w:tblCellMar>
            <w:top w:w="0" w:type="dxa"/>
            <w:left w:w="0" w:type="dxa"/>
            <w:bottom w:w="0" w:type="dxa"/>
            <w:right w:w="0" w:type="dxa"/>
          </w:tblCellMar>
        </w:tblPrEx>
        <w:trPr>
          <w:trHeight w:val="580" w:hRule="atLeast"/>
        </w:trPr>
        <w:tc>
          <w:tcPr>
            <w:tcW w:w="18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供电公司</w:t>
            </w:r>
          </w:p>
        </w:tc>
        <w:tc>
          <w:tcPr>
            <w:tcW w:w="3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403</w:t>
            </w:r>
          </w:p>
        </w:tc>
        <w:tc>
          <w:tcPr>
            <w:tcW w:w="3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33</w:t>
            </w:r>
          </w:p>
        </w:tc>
      </w:tr>
      <w:tr>
        <w:tblPrEx>
          <w:tblCellMar>
            <w:top w:w="0" w:type="dxa"/>
            <w:left w:w="0" w:type="dxa"/>
            <w:bottom w:w="0" w:type="dxa"/>
            <w:right w:w="0" w:type="dxa"/>
          </w:tblCellMar>
        </w:tblPrEx>
        <w:trPr>
          <w:trHeight w:val="580" w:hRule="atLeast"/>
        </w:trPr>
        <w:tc>
          <w:tcPr>
            <w:tcW w:w="18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auto"/>
                <w:kern w:val="0"/>
                <w:sz w:val="24"/>
                <w:szCs w:val="24"/>
                <w:highlight w:val="none"/>
              </w:rPr>
              <w:t>资天集团</w:t>
            </w:r>
          </w:p>
        </w:tc>
        <w:tc>
          <w:tcPr>
            <w:tcW w:w="3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191</w:t>
            </w:r>
          </w:p>
        </w:tc>
        <w:tc>
          <w:tcPr>
            <w:tcW w:w="3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23</w:t>
            </w:r>
          </w:p>
        </w:tc>
      </w:tr>
      <w:tr>
        <w:tblPrEx>
          <w:tblCellMar>
            <w:top w:w="0" w:type="dxa"/>
            <w:left w:w="0" w:type="dxa"/>
            <w:bottom w:w="0" w:type="dxa"/>
            <w:right w:w="0" w:type="dxa"/>
          </w:tblCellMar>
        </w:tblPrEx>
        <w:trPr>
          <w:trHeight w:val="580" w:hRule="atLeast"/>
        </w:trPr>
        <w:tc>
          <w:tcPr>
            <w:tcW w:w="18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市场集团</w:t>
            </w:r>
          </w:p>
        </w:tc>
        <w:tc>
          <w:tcPr>
            <w:tcW w:w="3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115</w:t>
            </w:r>
          </w:p>
        </w:tc>
        <w:tc>
          <w:tcPr>
            <w:tcW w:w="3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9</w:t>
            </w:r>
          </w:p>
        </w:tc>
      </w:tr>
      <w:tr>
        <w:tblPrEx>
          <w:tblCellMar>
            <w:top w:w="0" w:type="dxa"/>
            <w:left w:w="0" w:type="dxa"/>
            <w:bottom w:w="0" w:type="dxa"/>
            <w:right w:w="0" w:type="dxa"/>
          </w:tblCellMar>
        </w:tblPrEx>
        <w:trPr>
          <w:trHeight w:val="580" w:hRule="atLeast"/>
        </w:trPr>
        <w:tc>
          <w:tcPr>
            <w:tcW w:w="18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合计</w:t>
            </w:r>
          </w:p>
        </w:tc>
        <w:tc>
          <w:tcPr>
            <w:tcW w:w="323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1308</w:t>
            </w:r>
          </w:p>
        </w:tc>
        <w:tc>
          <w:tcPr>
            <w:tcW w:w="323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cs="仿宋_GB2312"/>
                <w:color w:val="000000"/>
                <w:sz w:val="24"/>
                <w:szCs w:val="24"/>
                <w:highlight w:val="none"/>
              </w:rPr>
            </w:pPr>
            <w:r>
              <w:rPr>
                <w:rFonts w:hint="eastAsia" w:cs="仿宋_GB2312"/>
                <w:color w:val="000000"/>
                <w:kern w:val="0"/>
                <w:sz w:val="24"/>
                <w:szCs w:val="24"/>
                <w:highlight w:val="none"/>
              </w:rPr>
              <w:t>90</w:t>
            </w:r>
          </w:p>
        </w:tc>
      </w:tr>
    </w:tbl>
    <w:p>
      <w:pPr>
        <w:pStyle w:val="2"/>
        <w:spacing w:line="240" w:lineRule="auto"/>
        <w:ind w:firstLine="0" w:firstLineChars="0"/>
        <w:jc w:val="center"/>
        <w:rPr>
          <w:rFonts w:hint="eastAsia"/>
          <w:b/>
          <w:bCs w:val="0"/>
          <w:highlight w:val="none"/>
          <w:lang w:val="en-US" w:eastAsia="zh-CN"/>
        </w:rPr>
      </w:pPr>
      <w:bookmarkStart w:id="32" w:name="_Toc9889"/>
      <w:bookmarkStart w:id="33" w:name="_Toc1234"/>
      <w:bookmarkStart w:id="34" w:name="_Toc66354658"/>
      <w:r>
        <w:drawing>
          <wp:inline distT="0" distB="0" distL="114300" distR="114300">
            <wp:extent cx="5277485" cy="1604010"/>
            <wp:effectExtent l="0" t="0" r="10795" b="1143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22"/>
                    <a:stretch>
                      <a:fillRect/>
                    </a:stretch>
                  </pic:blipFill>
                  <pic:spPr>
                    <a:xfrm>
                      <a:off x="0" y="0"/>
                      <a:ext cx="5277485" cy="1604010"/>
                    </a:xfrm>
                    <a:prstGeom prst="rect">
                      <a:avLst/>
                    </a:prstGeom>
                    <a:noFill/>
                    <a:ln>
                      <a:noFill/>
                    </a:ln>
                  </pic:spPr>
                </pic:pic>
              </a:graphicData>
            </a:graphic>
          </wp:inline>
        </w:drawing>
      </w:r>
      <w:r>
        <w:rPr>
          <w:rFonts w:hint="eastAsia"/>
          <w:b/>
          <w:bCs w:val="0"/>
          <w:highlight w:val="none"/>
        </w:rPr>
        <w:t>图</w:t>
      </w:r>
      <w:r>
        <w:rPr>
          <w:rFonts w:hint="eastAsia"/>
          <w:b/>
          <w:bCs w:val="0"/>
          <w:highlight w:val="none"/>
          <w:lang w:val="en-US" w:eastAsia="zh-CN"/>
        </w:rPr>
        <w:t>8</w:t>
      </w:r>
      <w:r>
        <w:rPr>
          <w:rFonts w:hint="eastAsia"/>
          <w:b/>
          <w:bCs w:val="0"/>
          <w:highlight w:val="none"/>
        </w:rPr>
        <w:t xml:space="preserve"> </w:t>
      </w:r>
      <w:r>
        <w:rPr>
          <w:rFonts w:hint="eastAsia"/>
          <w:b/>
          <w:bCs w:val="0"/>
          <w:highlight w:val="none"/>
          <w:lang w:val="en-US" w:eastAsia="zh-CN"/>
        </w:rPr>
        <w:t>金华市</w:t>
      </w:r>
      <w:r>
        <w:rPr>
          <w:rFonts w:hint="eastAsia"/>
          <w:b/>
          <w:bCs w:val="0"/>
          <w:highlight w:val="none"/>
        </w:rPr>
        <w:t>公共充电桩</w:t>
      </w:r>
      <w:r>
        <w:rPr>
          <w:rFonts w:hint="eastAsia"/>
          <w:b/>
          <w:bCs w:val="0"/>
          <w:highlight w:val="none"/>
          <w:lang w:val="en-US" w:eastAsia="zh-CN"/>
        </w:rPr>
        <w:t>接入平台情况</w:t>
      </w:r>
    </w:p>
    <w:p>
      <w:pPr>
        <w:pStyle w:val="4"/>
        <w:ind w:firstLine="643"/>
        <w:rPr>
          <w:rFonts w:ascii="Times New Roman" w:hAnsi="Times New Roman"/>
          <w:highlight w:val="none"/>
        </w:rPr>
      </w:pPr>
      <w:r>
        <w:rPr>
          <w:rFonts w:hint="eastAsia" w:ascii="Times New Roman" w:hAnsi="Times New Roman"/>
          <w:highlight w:val="none"/>
        </w:rPr>
        <w:t>（二）问题与挑战</w:t>
      </w:r>
      <w:bookmarkEnd w:id="32"/>
      <w:bookmarkEnd w:id="33"/>
      <w:bookmarkEnd w:id="34"/>
    </w:p>
    <w:p>
      <w:pPr>
        <w:pStyle w:val="30"/>
        <w:snapToGrid w:val="0"/>
        <w:spacing w:line="600" w:lineRule="exact"/>
        <w:ind w:firstLine="640" w:firstLineChars="200"/>
        <w:jc w:val="both"/>
        <w:rPr>
          <w:rFonts w:ascii="Times New Roman" w:hAnsi="Times New Roman" w:eastAsia="仿宋_GB2312"/>
          <w:sz w:val="32"/>
          <w:szCs w:val="32"/>
          <w:highlight w:val="none"/>
        </w:rPr>
      </w:pPr>
      <w:r>
        <w:rPr>
          <w:rFonts w:hint="eastAsia" w:ascii="Times New Roman" w:hAnsi="Times New Roman" w:eastAsia="仿宋_GB2312"/>
          <w:sz w:val="32"/>
          <w:szCs w:val="32"/>
          <w:highlight w:val="none"/>
        </w:rPr>
        <w:t>义乌市内充电基础设施建设和运营存在实际利用率不高、行业规范性不够、相应的配套政策不够完善</w:t>
      </w:r>
      <w:r>
        <w:rPr>
          <w:rFonts w:hint="eastAsia" w:ascii="Times New Roman" w:hAnsi="Times New Roman" w:eastAsia="仿宋_GB2312"/>
          <w:sz w:val="32"/>
          <w:szCs w:val="32"/>
          <w:highlight w:val="none"/>
          <w:lang w:eastAsia="zh-CN"/>
        </w:rPr>
        <w:t>、管理平台不健全</w:t>
      </w:r>
      <w:r>
        <w:rPr>
          <w:rFonts w:hint="eastAsia" w:ascii="Times New Roman" w:hAnsi="Times New Roman" w:eastAsia="仿宋_GB2312"/>
          <w:sz w:val="32"/>
          <w:szCs w:val="32"/>
          <w:highlight w:val="none"/>
        </w:rPr>
        <w:t>等短板。</w:t>
      </w:r>
    </w:p>
    <w:p>
      <w:pPr>
        <w:pStyle w:val="30"/>
        <w:snapToGrid w:val="0"/>
        <w:spacing w:line="600" w:lineRule="exact"/>
        <w:ind w:firstLine="640" w:firstLineChars="200"/>
        <w:jc w:val="both"/>
        <w:rPr>
          <w:rFonts w:hint="eastAsia" w:ascii="Times New Roman" w:hAnsi="Times New Roman" w:eastAsia="仿宋_GB2312"/>
          <w:sz w:val="32"/>
          <w:szCs w:val="32"/>
          <w:highlight w:val="none"/>
        </w:rPr>
      </w:pPr>
      <w:r>
        <w:rPr>
          <w:rFonts w:hint="eastAsia" w:ascii="Times New Roman" w:hAnsi="Times New Roman" w:eastAsia="仿宋_GB2312"/>
          <w:b/>
          <w:sz w:val="32"/>
          <w:szCs w:val="32"/>
          <w:highlight w:val="none"/>
        </w:rPr>
        <w:t>实际利用率不高。</w:t>
      </w:r>
      <w:r>
        <w:rPr>
          <w:rFonts w:hint="eastAsia" w:ascii="Times New Roman" w:hAnsi="Times New Roman" w:eastAsia="仿宋_GB2312"/>
          <w:b w:val="0"/>
          <w:bCs/>
          <w:sz w:val="32"/>
          <w:szCs w:val="32"/>
          <w:highlight w:val="none"/>
          <w:lang w:eastAsia="zh-CN"/>
        </w:rPr>
        <w:t>目前，</w:t>
      </w:r>
      <w:r>
        <w:rPr>
          <w:rFonts w:hint="eastAsia" w:ascii="Times New Roman" w:hAnsi="Times New Roman" w:eastAsia="仿宋_GB2312"/>
          <w:b w:val="0"/>
          <w:bCs/>
          <w:sz w:val="32"/>
          <w:szCs w:val="32"/>
          <w:highlight w:val="none"/>
          <w:lang w:val="en-US" w:eastAsia="zh-CN"/>
        </w:rPr>
        <w:t>义乌市共有</w:t>
      </w:r>
      <w:r>
        <w:rPr>
          <w:rFonts w:hint="eastAsia" w:ascii="Times New Roman" w:hAnsi="Times New Roman" w:eastAsia="仿宋_GB2312"/>
          <w:b w:val="0"/>
          <w:bCs/>
          <w:sz w:val="32"/>
          <w:szCs w:val="32"/>
          <w:highlight w:val="none"/>
          <w:lang w:eastAsia="zh-CN"/>
        </w:rPr>
        <w:t>公共领域充（换）电站</w:t>
      </w:r>
      <w:r>
        <w:rPr>
          <w:rFonts w:hint="eastAsia" w:ascii="Times New Roman" w:hAnsi="Times New Roman" w:eastAsia="仿宋_GB2312"/>
          <w:b w:val="0"/>
          <w:bCs/>
          <w:sz w:val="32"/>
          <w:szCs w:val="32"/>
          <w:highlight w:val="none"/>
          <w:lang w:val="en-US" w:eastAsia="zh-CN"/>
        </w:rPr>
        <w:t>90座，其中</w:t>
      </w:r>
      <w:r>
        <w:rPr>
          <w:rFonts w:hint="eastAsia" w:ascii="Times New Roman" w:hAnsi="Times New Roman" w:eastAsia="仿宋_GB2312"/>
          <w:b w:val="0"/>
          <w:bCs/>
          <w:sz w:val="32"/>
          <w:szCs w:val="32"/>
          <w:highlight w:val="none"/>
          <w:lang w:eastAsia="zh-CN"/>
        </w:rPr>
        <w:t>正常运营</w:t>
      </w:r>
      <w:r>
        <w:rPr>
          <w:rFonts w:hint="eastAsia" w:ascii="Times New Roman" w:hAnsi="Times New Roman" w:eastAsia="仿宋_GB2312"/>
          <w:b w:val="0"/>
          <w:bCs/>
          <w:sz w:val="32"/>
          <w:szCs w:val="32"/>
          <w:highlight w:val="none"/>
          <w:lang w:val="en-US" w:eastAsia="zh-CN"/>
        </w:rPr>
        <w:t>占92%左右，</w:t>
      </w:r>
      <w:r>
        <w:rPr>
          <w:rFonts w:hint="eastAsia" w:ascii="Times New Roman" w:hAnsi="Times New Roman" w:eastAsia="仿宋_GB2312"/>
          <w:b w:val="0"/>
          <w:bCs/>
          <w:sz w:val="32"/>
          <w:szCs w:val="32"/>
          <w:highlight w:val="none"/>
        </w:rPr>
        <w:t>受公共停车位不足等影响，公共领域充电车位</w:t>
      </w:r>
      <w:r>
        <w:rPr>
          <w:rFonts w:hint="eastAsia" w:ascii="Times New Roman" w:hAnsi="Times New Roman" w:eastAsia="仿宋_GB2312" w:cs="Times New Roman"/>
          <w:b w:val="0"/>
          <w:bCs/>
          <w:snapToGrid w:val="0"/>
          <w:sz w:val="32"/>
          <w:szCs w:val="32"/>
          <w:highlight w:val="none"/>
        </w:rPr>
        <w:t>被燃油车占据导致无法正常提供充电服务的情况</w:t>
      </w:r>
      <w:r>
        <w:rPr>
          <w:rFonts w:ascii="Times New Roman" w:hAnsi="Times New Roman" w:eastAsia="仿宋_GB2312" w:cs="Times New Roman"/>
          <w:b w:val="0"/>
          <w:bCs/>
          <w:snapToGrid w:val="0"/>
          <w:sz w:val="32"/>
          <w:szCs w:val="32"/>
          <w:highlight w:val="none"/>
        </w:rPr>
        <w:t>比较突出。</w:t>
      </w:r>
      <w:r>
        <w:rPr>
          <w:rFonts w:hint="eastAsia" w:ascii="Times New Roman" w:hAnsi="Times New Roman" w:eastAsia="仿宋_GB2312" w:cs="Times New Roman"/>
          <w:b w:val="0"/>
          <w:bCs/>
          <w:snapToGrid w:val="0"/>
          <w:sz w:val="32"/>
          <w:szCs w:val="32"/>
          <w:highlight w:val="none"/>
        </w:rPr>
        <w:t>在市场竞争初期，</w:t>
      </w:r>
      <w:r>
        <w:rPr>
          <w:rFonts w:hint="eastAsia" w:ascii="Times New Roman" w:hAnsi="Times New Roman" w:eastAsia="仿宋_GB2312"/>
          <w:b w:val="0"/>
          <w:bCs/>
          <w:sz w:val="32"/>
          <w:szCs w:val="32"/>
          <w:highlight w:val="none"/>
        </w:rPr>
        <w:t>部分运营商</w:t>
      </w:r>
      <w:r>
        <w:rPr>
          <w:rFonts w:hint="eastAsia" w:ascii="Times New Roman" w:hAnsi="Times New Roman" w:eastAsia="仿宋_GB2312"/>
          <w:sz w:val="32"/>
          <w:szCs w:val="32"/>
          <w:highlight w:val="none"/>
        </w:rPr>
        <w:t>为了抢占市场，不计成本和投资回报，行业竞争导致部分充电桩布局不合理，利用率低</w:t>
      </w:r>
      <w:r>
        <w:rPr>
          <w:rFonts w:hint="eastAsia" w:ascii="Times New Roman" w:hAnsi="Times New Roman" w:eastAsia="仿宋_GB2312" w:cs="Times New Roman"/>
          <w:snapToGrid w:val="0"/>
          <w:sz w:val="32"/>
          <w:szCs w:val="32"/>
          <w:highlight w:val="none"/>
        </w:rPr>
        <w:t>。</w:t>
      </w:r>
      <w:r>
        <w:rPr>
          <w:rFonts w:hint="eastAsia" w:ascii="Times New Roman" w:hAnsi="Times New Roman" w:eastAsia="仿宋_GB2312" w:cs="Times New Roman"/>
          <w:snapToGrid w:val="0"/>
          <w:sz w:val="32"/>
          <w:szCs w:val="32"/>
          <w:highlight w:val="none"/>
          <w:lang w:eastAsia="zh-CN"/>
        </w:rPr>
        <w:t>从义乌市充电桩热力图（</w:t>
      </w:r>
      <w:r>
        <w:rPr>
          <w:rFonts w:hint="eastAsia" w:ascii="Times New Roman" w:hAnsi="Times New Roman" w:eastAsia="仿宋_GB2312" w:cs="Times New Roman"/>
          <w:snapToGrid w:val="0"/>
          <w:sz w:val="32"/>
          <w:szCs w:val="32"/>
          <w:highlight w:val="none"/>
          <w:lang w:val="en-US" w:eastAsia="zh-CN"/>
        </w:rPr>
        <w:t>23时截取</w:t>
      </w:r>
      <w:r>
        <w:rPr>
          <w:rFonts w:hint="eastAsia" w:ascii="Times New Roman" w:hAnsi="Times New Roman" w:eastAsia="仿宋_GB2312" w:cs="Times New Roman"/>
          <w:snapToGrid w:val="0"/>
          <w:sz w:val="32"/>
          <w:szCs w:val="32"/>
          <w:highlight w:val="none"/>
          <w:lang w:eastAsia="zh-CN"/>
        </w:rPr>
        <w:t>）分布来看，</w:t>
      </w:r>
      <w:r>
        <w:rPr>
          <w:rFonts w:hint="eastAsia" w:ascii="Times New Roman" w:hAnsi="Times New Roman" w:eastAsia="仿宋_GB2312" w:cs="Times New Roman"/>
          <w:snapToGrid w:val="0"/>
          <w:sz w:val="32"/>
          <w:szCs w:val="32"/>
          <w:highlight w:val="none"/>
          <w:lang w:val="en-US" w:eastAsia="zh-CN"/>
        </w:rPr>
        <w:t>主要集中在义乌国际商贸城、电力大厦等核心区域，周边区域实际利用率偏低。</w:t>
      </w:r>
      <w:r>
        <w:rPr>
          <w:rFonts w:hint="eastAsia" w:ascii="Times New Roman" w:hAnsi="Times New Roman" w:eastAsia="仿宋_GB2312" w:cs="Times New Roman"/>
          <w:bCs/>
          <w:snapToGrid w:val="0"/>
          <w:sz w:val="32"/>
          <w:szCs w:val="32"/>
          <w:highlight w:val="none"/>
        </w:rPr>
        <w:t>存在</w:t>
      </w:r>
      <w:r>
        <w:rPr>
          <w:rFonts w:ascii="Times New Roman" w:hAnsi="Times New Roman" w:eastAsia="仿宋"/>
          <w:bCs/>
          <w:sz w:val="32"/>
          <w:szCs w:val="30"/>
          <w:highlight w:val="none"/>
        </w:rPr>
        <w:t>“僵尸桩”“故障桩”</w:t>
      </w:r>
      <w:r>
        <w:rPr>
          <w:rFonts w:hint="eastAsia" w:ascii="Times New Roman" w:hAnsi="Times New Roman" w:eastAsia="仿宋"/>
          <w:bCs/>
          <w:sz w:val="32"/>
          <w:szCs w:val="30"/>
          <w:highlight w:val="none"/>
        </w:rPr>
        <w:t>等</w:t>
      </w:r>
      <w:r>
        <w:rPr>
          <w:rFonts w:ascii="Times New Roman" w:hAnsi="Times New Roman" w:eastAsia="仿宋"/>
          <w:bCs/>
          <w:sz w:val="32"/>
          <w:szCs w:val="30"/>
          <w:highlight w:val="none"/>
        </w:rPr>
        <w:t>普遍问题</w:t>
      </w:r>
      <w:r>
        <w:rPr>
          <w:rFonts w:hint="eastAsia" w:ascii="Times New Roman" w:hAnsi="Times New Roman" w:eastAsia="仿宋"/>
          <w:bCs/>
          <w:sz w:val="32"/>
          <w:szCs w:val="30"/>
          <w:highlight w:val="none"/>
        </w:rPr>
        <w:t>，</w:t>
      </w:r>
      <w:r>
        <w:rPr>
          <w:rFonts w:hint="eastAsia" w:ascii="Times New Roman" w:hAnsi="Times New Roman" w:eastAsia="仿宋_GB2312"/>
          <w:sz w:val="32"/>
          <w:szCs w:val="32"/>
          <w:highlight w:val="none"/>
        </w:rPr>
        <w:t>场站建成后运营管理滞后，充电桩可用率、安全性及场站环境没有保障。</w:t>
      </w:r>
    </w:p>
    <w:p>
      <w:pPr>
        <w:pStyle w:val="3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仿宋_GB2312"/>
          <w:sz w:val="32"/>
          <w:szCs w:val="32"/>
          <w:highlight w:val="none"/>
          <w:lang w:eastAsia="zh-CN"/>
        </w:rPr>
      </w:pPr>
    </w:p>
    <w:p>
      <w:pPr>
        <w:pStyle w:val="30"/>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both"/>
        <w:textAlignment w:val="auto"/>
        <w:rPr>
          <w:rFonts w:hint="eastAsia" w:ascii="Times New Roman" w:hAnsi="Times New Roman" w:eastAsia="仿宋_GB2312"/>
          <w:sz w:val="32"/>
          <w:szCs w:val="32"/>
          <w:highlight w:val="none"/>
          <w:lang w:eastAsia="zh-CN"/>
        </w:rPr>
      </w:pPr>
      <w:r>
        <w:drawing>
          <wp:inline distT="0" distB="0" distL="114300" distR="114300">
            <wp:extent cx="5275580" cy="3985895"/>
            <wp:effectExtent l="0" t="0" r="12700" b="6985"/>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23"/>
                    <a:stretch>
                      <a:fillRect/>
                    </a:stretch>
                  </pic:blipFill>
                  <pic:spPr>
                    <a:xfrm>
                      <a:off x="0" y="0"/>
                      <a:ext cx="5275580" cy="3985895"/>
                    </a:xfrm>
                    <a:prstGeom prst="rect">
                      <a:avLst/>
                    </a:prstGeom>
                    <a:noFill/>
                    <a:ln>
                      <a:noFill/>
                    </a:ln>
                  </pic:spPr>
                </pic:pic>
              </a:graphicData>
            </a:graphic>
          </wp:inline>
        </w:drawing>
      </w:r>
    </w:p>
    <w:p>
      <w:pPr>
        <w:pStyle w:val="2"/>
        <w:spacing w:line="240" w:lineRule="auto"/>
        <w:ind w:firstLine="0" w:firstLineChars="0"/>
        <w:jc w:val="center"/>
        <w:rPr>
          <w:rFonts w:hint="eastAsia" w:ascii="Times New Roman" w:hAnsi="Times New Roman" w:eastAsia="仿宋_GB2312"/>
          <w:sz w:val="32"/>
          <w:szCs w:val="32"/>
          <w:highlight w:val="none"/>
          <w:lang w:eastAsia="zh-CN"/>
        </w:rPr>
      </w:pPr>
      <w:r>
        <w:rPr>
          <w:rFonts w:hint="eastAsia"/>
          <w:b/>
          <w:bCs w:val="0"/>
          <w:highlight w:val="none"/>
        </w:rPr>
        <w:t>图</w:t>
      </w:r>
      <w:r>
        <w:rPr>
          <w:rFonts w:hint="eastAsia"/>
          <w:b/>
          <w:bCs w:val="0"/>
          <w:highlight w:val="none"/>
          <w:lang w:val="en-US" w:eastAsia="zh-CN"/>
        </w:rPr>
        <w:t>9</w:t>
      </w:r>
      <w:r>
        <w:rPr>
          <w:rFonts w:hint="eastAsia"/>
          <w:b/>
          <w:bCs w:val="0"/>
          <w:highlight w:val="none"/>
        </w:rPr>
        <w:t xml:space="preserve"> 义乌市公共充电桩</w:t>
      </w:r>
      <w:r>
        <w:rPr>
          <w:rFonts w:hint="eastAsia"/>
          <w:b/>
          <w:bCs w:val="0"/>
          <w:highlight w:val="none"/>
          <w:lang w:val="en-US" w:eastAsia="zh-CN"/>
        </w:rPr>
        <w:t>热力图</w:t>
      </w:r>
    </w:p>
    <w:p>
      <w:pPr>
        <w:pStyle w:val="30"/>
        <w:snapToGrid w:val="0"/>
        <w:spacing w:line="600" w:lineRule="exact"/>
        <w:ind w:firstLine="640" w:firstLineChars="200"/>
        <w:rPr>
          <w:rFonts w:hint="eastAsia" w:ascii="Times New Roman" w:hAnsi="Times New Roman" w:eastAsia="仿宋_GB2312" w:cs="Times New Roman"/>
          <w:bCs/>
          <w:snapToGrid w:val="0"/>
          <w:sz w:val="32"/>
          <w:szCs w:val="32"/>
          <w:highlight w:val="none"/>
        </w:rPr>
      </w:pPr>
      <w:r>
        <w:rPr>
          <w:rFonts w:hint="eastAsia" w:ascii="Times New Roman" w:hAnsi="Times New Roman" w:eastAsia="仿宋_GB2312" w:cs="Times New Roman"/>
          <w:b/>
          <w:snapToGrid w:val="0"/>
          <w:sz w:val="32"/>
          <w:szCs w:val="32"/>
          <w:highlight w:val="none"/>
        </w:rPr>
        <w:t>行业规范性不够。</w:t>
      </w:r>
      <w:r>
        <w:rPr>
          <w:rFonts w:hint="eastAsia" w:ascii="Times New Roman" w:hAnsi="Times New Roman" w:eastAsia="仿宋_GB2312" w:cs="Times New Roman"/>
          <w:b w:val="0"/>
          <w:bCs/>
          <w:snapToGrid w:val="0"/>
          <w:sz w:val="32"/>
          <w:szCs w:val="32"/>
          <w:highlight w:val="none"/>
          <w:lang w:eastAsia="zh-CN"/>
        </w:rPr>
        <w:t>在</w:t>
      </w:r>
      <w:r>
        <w:rPr>
          <w:rFonts w:hint="eastAsia" w:ascii="Times New Roman" w:hAnsi="Times New Roman" w:eastAsia="仿宋_GB2312" w:cs="Times New Roman"/>
          <w:b w:val="0"/>
          <w:bCs/>
          <w:snapToGrid w:val="0"/>
          <w:sz w:val="32"/>
          <w:szCs w:val="32"/>
          <w:highlight w:val="none"/>
        </w:rPr>
        <w:t>国家层面</w:t>
      </w:r>
      <w:r>
        <w:rPr>
          <w:rFonts w:hint="eastAsia" w:ascii="Times New Roman" w:hAnsi="Times New Roman" w:eastAsia="仿宋_GB2312" w:cs="Times New Roman"/>
          <w:b w:val="0"/>
          <w:bCs/>
          <w:snapToGrid w:val="0"/>
          <w:sz w:val="32"/>
          <w:szCs w:val="32"/>
          <w:highlight w:val="none"/>
          <w:lang w:eastAsia="zh-CN"/>
        </w:rPr>
        <w:t>，我国</w:t>
      </w:r>
      <w:r>
        <w:rPr>
          <w:rFonts w:hint="eastAsia" w:ascii="Times New Roman" w:hAnsi="Times New Roman" w:eastAsia="仿宋_GB2312" w:cs="Times New Roman"/>
          <w:b w:val="0"/>
          <w:bCs/>
          <w:snapToGrid w:val="0"/>
          <w:sz w:val="32"/>
          <w:szCs w:val="32"/>
          <w:highlight w:val="none"/>
        </w:rPr>
        <w:t>已经进行电动汽车传导式充电和换电的标准化工作，无线充电作为向</w:t>
      </w:r>
      <w:r>
        <w:rPr>
          <w:rFonts w:hint="eastAsia" w:ascii="Times New Roman" w:hAnsi="Times New Roman" w:eastAsia="仿宋_GB2312" w:cs="Times New Roman"/>
          <w:bCs/>
          <w:snapToGrid w:val="0"/>
          <w:sz w:val="32"/>
          <w:szCs w:val="32"/>
          <w:highlight w:val="none"/>
        </w:rPr>
        <w:t>电动汽车提供能量的第三种方式，其标准化工作初步开展，标准体系尚未建立。但地方层面，省建设厅于2016年发布《民用建筑电动汽车充电设施配置与设计规范》（DB33/1121-2016），新形势下该标准亟需修订。同时，我省能源业联合会发布的《电动汽车充电站（桩）建设预验收规范》《电动汽车充电站（桩）运营及服务规范》仅在技术、检验试验方面起到规范辅助的作用，缺乏对硬性指标的约束。</w:t>
      </w:r>
    </w:p>
    <w:p>
      <w:pPr>
        <w:ind w:firstLine="643"/>
        <w:rPr>
          <w:rFonts w:hint="default"/>
          <w:szCs w:val="32"/>
          <w:highlight w:val="none"/>
          <w:lang w:val="en-US"/>
        </w:rPr>
      </w:pPr>
      <w:r>
        <w:rPr>
          <w:rFonts w:hint="eastAsia"/>
          <w:b/>
          <w:szCs w:val="32"/>
          <w:highlight w:val="none"/>
        </w:rPr>
        <w:t>配套政策不完善。</w:t>
      </w:r>
      <w:r>
        <w:rPr>
          <w:rFonts w:hint="eastAsia"/>
          <w:bCs/>
          <w:szCs w:val="32"/>
          <w:highlight w:val="none"/>
        </w:rPr>
        <w:t>“十三五”期间，充电基础设施财税</w:t>
      </w:r>
      <w:r>
        <w:rPr>
          <w:rFonts w:hint="eastAsia"/>
          <w:szCs w:val="32"/>
          <w:highlight w:val="none"/>
        </w:rPr>
        <w:t>支持政策与电动汽车支持政策不匹配，对社会资本吸引力不足，普遍缺乏建设积极性。对充换电设施的报建、审批、运营等方面的政策不够明确，缺少配套支持政策。在城市建设及相关规划中对充电基础设施考虑不足，充电基础设施的长期用地政策有待进一步明确和细化，面对居民区、社会停车场等安装困难的场所协调推动力度不够。</w:t>
      </w:r>
      <w:r>
        <w:rPr>
          <w:rFonts w:hint="eastAsia" w:ascii="Times New Roman" w:hAnsi="Times New Roman" w:eastAsia="仿宋_GB2312" w:cs="Times New Roman"/>
          <w:bCs/>
          <w:snapToGrid w:val="0"/>
          <w:sz w:val="32"/>
          <w:szCs w:val="32"/>
          <w:highlight w:val="none"/>
          <w:lang w:val="en-US" w:eastAsia="zh-CN"/>
        </w:rPr>
        <w:t>运营商充电服务费成本偏高，</w:t>
      </w:r>
      <w:r>
        <w:rPr>
          <w:rFonts w:hint="eastAsia" w:eastAsia="仿宋_GB2312" w:cs="Times New Roman"/>
          <w:bCs/>
          <w:snapToGrid w:val="0"/>
          <w:sz w:val="32"/>
          <w:szCs w:val="32"/>
          <w:highlight w:val="none"/>
          <w:lang w:val="en-US" w:eastAsia="zh-CN"/>
        </w:rPr>
        <w:t>充电价格普遍偏高，缺少相应的峰谷电价政策，缺乏市场活力。</w:t>
      </w:r>
    </w:p>
    <w:p>
      <w:pPr>
        <w:ind w:firstLine="643"/>
        <w:rPr>
          <w:sz w:val="24"/>
          <w:szCs w:val="24"/>
          <w:highlight w:val="none"/>
        </w:rPr>
      </w:pPr>
      <w:r>
        <w:rPr>
          <w:rFonts w:hint="eastAsia"/>
          <w:b/>
          <w:highlight w:val="none"/>
        </w:rPr>
        <w:t>管理平台不健全。</w:t>
      </w:r>
      <w:r>
        <w:rPr>
          <w:rFonts w:hint="eastAsia"/>
          <w:highlight w:val="none"/>
        </w:rPr>
        <w:t>目前，义乌市大部分充电桩运营商已经建立了相应的充电基础设施服务平台，但不同运营商在信息共享、充电服务资源融合、运营管理、智能检测、智慧监测等功能方面缺乏互联互通。省市级均未形成有效统一的智能管理平台，</w:t>
      </w:r>
      <w:r>
        <w:rPr>
          <w:rFonts w:hint="eastAsia"/>
          <w:kern w:val="0"/>
          <w:szCs w:val="32"/>
          <w:highlight w:val="none"/>
        </w:rPr>
        <w:t>行业数据统计不全面，制约了行业信息精准分析和相关政策制定，</w:t>
      </w:r>
      <w:r>
        <w:rPr>
          <w:rFonts w:hint="eastAsia"/>
          <w:highlight w:val="none"/>
        </w:rPr>
        <w:t>充电基础设施统一监督管理缺少有力抓手，</w:t>
      </w:r>
      <w:r>
        <w:rPr>
          <w:rFonts w:hint="eastAsia"/>
          <w:kern w:val="0"/>
          <w:szCs w:val="32"/>
          <w:highlight w:val="none"/>
        </w:rPr>
        <w:t>亟待打造全省充电设施“一张网”</w:t>
      </w:r>
      <w:r>
        <w:rPr>
          <w:rFonts w:hint="eastAsia"/>
          <w:highlight w:val="none"/>
        </w:rPr>
        <w:t>。</w:t>
      </w:r>
    </w:p>
    <w:p>
      <w:pPr>
        <w:pStyle w:val="4"/>
        <w:ind w:firstLine="643"/>
        <w:rPr>
          <w:rFonts w:ascii="Times New Roman" w:hAnsi="Times New Roman"/>
          <w:highlight w:val="none"/>
        </w:rPr>
      </w:pPr>
      <w:bookmarkStart w:id="35" w:name="_Toc17659"/>
      <w:bookmarkStart w:id="36" w:name="_Toc66354659"/>
      <w:bookmarkStart w:id="37" w:name="_Toc2822"/>
      <w:r>
        <w:rPr>
          <w:rFonts w:hint="eastAsia" w:ascii="Times New Roman" w:hAnsi="Times New Roman"/>
          <w:highlight w:val="none"/>
        </w:rPr>
        <w:t>（三）面临</w:t>
      </w:r>
      <w:r>
        <w:rPr>
          <w:rFonts w:ascii="Times New Roman" w:hAnsi="Times New Roman"/>
          <w:highlight w:val="none"/>
        </w:rPr>
        <w:t>形势</w:t>
      </w:r>
      <w:bookmarkEnd w:id="35"/>
      <w:bookmarkEnd w:id="36"/>
      <w:bookmarkEnd w:id="37"/>
    </w:p>
    <w:p>
      <w:pPr>
        <w:bidi w:val="0"/>
      </w:pPr>
      <w:r>
        <w:rPr>
          <w:rFonts w:hint="eastAsia"/>
          <w:b/>
          <w:bCs/>
        </w:rPr>
        <w:t>碳达峰碳中和对充电基础设施建设提出新需求</w:t>
      </w:r>
      <w:r>
        <w:rPr>
          <w:rFonts w:hint="eastAsia"/>
          <w:b/>
          <w:bCs/>
          <w:lang w:eastAsia="zh-CN"/>
        </w:rPr>
        <w:t>。</w:t>
      </w:r>
      <w:r>
        <w:rPr>
          <w:rFonts w:hint="eastAsia"/>
        </w:rPr>
        <w:t>一方面，新能源交通工具作为实现碳达峰、碳中和目标的重要途径，将再次迎来快速增长期。2020年10月国务院常务会议通过《新能源汽车产业发展规划（2021-2035年）》，明确“2021年起，国家生态文明试验区、大气污染防治重点区域新增或更新公交、出租、物流配送等公共领域车辆，新能源汽车比例不低于80%”。另一方面，充电基础设施作为新基建的重要领域之一，投资需求大。为落实国家推进新型基础设施建设的决策部署，我省制定《浙江省新型基础设施建设三年行动计划》（2020-2022年），加快布局充电桩网络及平台，充电桩的发展将进入加速阶段。</w:t>
      </w:r>
    </w:p>
    <w:p>
      <w:pPr>
        <w:bidi w:val="0"/>
        <w:rPr>
          <w:bCs/>
          <w:highlight w:val="none"/>
        </w:rPr>
      </w:pPr>
      <w:r>
        <w:rPr>
          <w:rFonts w:hint="eastAsia"/>
          <w:b/>
          <w:bCs/>
        </w:rPr>
        <w:t>充换电模式创新为充电基础设施建设带来新契机</w:t>
      </w:r>
      <w:r>
        <w:rPr>
          <w:rFonts w:hint="eastAsia"/>
          <w:b/>
          <w:bCs/>
          <w:lang w:eastAsia="zh-CN"/>
        </w:rPr>
        <w:t>。</w:t>
      </w:r>
      <w:r>
        <w:rPr>
          <w:rFonts w:hint="eastAsia"/>
          <w:highlight w:val="none"/>
        </w:rPr>
        <w:t>“十三五”以来，新能源汽车产业技术升级持续推进，不断突破相关核心技术，</w:t>
      </w:r>
      <w:r>
        <w:rPr>
          <w:rFonts w:hint="eastAsia"/>
          <w:bCs/>
          <w:highlight w:val="none"/>
        </w:rPr>
        <w:t>充电基础设施基本以充电技术模式为主，但近期随着工程车、渣土车、重卡等新场景出现，逐步向鼓励“充电、换电”模式并行的趋势发展，</w:t>
      </w:r>
      <w:r>
        <w:rPr>
          <w:rFonts w:hint="eastAsia"/>
          <w:highlight w:val="none"/>
        </w:rPr>
        <w:t>逐步出现新型充电模式</w:t>
      </w:r>
      <w:r>
        <w:rPr>
          <w:rFonts w:hint="eastAsia"/>
          <w:bCs/>
          <w:highlight w:val="none"/>
        </w:rPr>
        <w:t>。《新能源汽车发展规划（2021-2035年）》提到“鼓励开展换电模式应用”，支持“充电、换电”模</w:t>
      </w:r>
      <w:r>
        <w:rPr>
          <w:rFonts w:hint="eastAsia"/>
          <w:highlight w:val="none"/>
        </w:rPr>
        <w:t>式发展。</w:t>
      </w:r>
      <w:r>
        <w:rPr>
          <w:rFonts w:hint="eastAsia"/>
          <w:bCs/>
          <w:highlight w:val="none"/>
        </w:rPr>
        <w:t>同时，集光伏发电、储能、数据中心、5G基站、北斗基站等功能于一体的电动汽车充换电站逐步出现。此外，超级充电桩已开始布局，充电峰值功率可达250kW。部分企业已全面推广即插即充、无感支付，一键充电，大幅减少充电操作。充电的快速性、安全性与便捷性将共同优化顾客的充电体验，形成更加良好的市场环境。</w:t>
      </w:r>
    </w:p>
    <w:tbl>
      <w:tblPr>
        <w:tblStyle w:val="16"/>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7" w:hRule="atLeast"/>
        </w:trPr>
        <w:tc>
          <w:tcPr>
            <w:tcW w:w="8522" w:type="dxa"/>
          </w:tcPr>
          <w:p>
            <w:pPr>
              <w:keepNext w:val="0"/>
              <w:keepLines w:val="0"/>
              <w:suppressLineNumbers w:val="0"/>
              <w:spacing w:before="0" w:beforeAutospacing="0" w:after="0" w:afterAutospacing="0"/>
              <w:ind w:left="0" w:right="0" w:firstLine="0" w:firstLineChars="0"/>
              <w:jc w:val="center"/>
              <w:outlineLvl w:val="3"/>
              <w:rPr>
                <w:rFonts w:hint="default" w:cs="Times New Roman" w:eastAsiaTheme="minorEastAsia"/>
                <w:b/>
                <w:bCs/>
                <w:sz w:val="28"/>
                <w:szCs w:val="24"/>
                <w:highlight w:val="none"/>
              </w:rPr>
            </w:pPr>
            <w:r>
              <w:rPr>
                <w:rFonts w:hint="eastAsia" w:cs="Times New Roman" w:eastAsiaTheme="minorEastAsia"/>
                <w:b/>
                <w:bCs/>
                <w:sz w:val="28"/>
                <w:szCs w:val="24"/>
                <w:highlight w:val="none"/>
              </w:rPr>
              <w:t>专栏1  换电模式应用场景</w:t>
            </w:r>
          </w:p>
          <w:p>
            <w:pPr>
              <w:keepNext w:val="0"/>
              <w:keepLines w:val="0"/>
              <w:suppressLineNumbers w:val="0"/>
              <w:spacing w:before="0" w:beforeAutospacing="0" w:after="0" w:afterAutospacing="0"/>
              <w:ind w:left="0" w:right="0" w:firstLine="480"/>
              <w:rPr>
                <w:rFonts w:hint="default" w:eastAsiaTheme="minorEastAsia"/>
                <w:sz w:val="24"/>
                <w:szCs w:val="24"/>
                <w:highlight w:val="none"/>
              </w:rPr>
            </w:pPr>
            <w:r>
              <w:rPr>
                <w:rFonts w:hint="eastAsia" w:eastAsiaTheme="minorEastAsia"/>
                <w:sz w:val="24"/>
                <w:szCs w:val="24"/>
                <w:highlight w:val="none"/>
              </w:rPr>
              <w:t>换电模式的主要特点车电分离，可以通过电池租用的方式将高昂的电池成本从新车售价中剥离出来，降低消费者的购车成本。换电模式既能够有效大幅提升新能源汽车的补能效率；能够充分利用峰谷电价降低充电成本；同时，换电模式灵活的换电属性能够让动力电池随着技术进步而更新换代。围绕矿场、港口、城市转运等短途、高频、重载场景，配套建设布局专用换电站，促进重卡领域的电动化转型。围绕城市内部和中短途跨城际客货运适用场景，探索出租</w:t>
            </w:r>
            <w:r>
              <w:rPr>
                <w:rFonts w:hint="eastAsia" w:eastAsiaTheme="minorEastAsia"/>
                <w:sz w:val="24"/>
                <w:szCs w:val="24"/>
                <w:highlight w:val="none"/>
                <w:lang w:eastAsia="zh-CN"/>
              </w:rPr>
              <w:t>、</w:t>
            </w:r>
            <w:r>
              <w:rPr>
                <w:rFonts w:hint="eastAsia" w:eastAsiaTheme="minorEastAsia"/>
                <w:sz w:val="24"/>
                <w:szCs w:val="24"/>
                <w:highlight w:val="none"/>
              </w:rPr>
              <w:t>网约和物流</w:t>
            </w:r>
            <w:r>
              <w:rPr>
                <w:rFonts w:hint="eastAsia" w:eastAsiaTheme="minorEastAsia"/>
                <w:sz w:val="24"/>
                <w:szCs w:val="24"/>
                <w:highlight w:val="none"/>
                <w:lang w:eastAsia="zh-CN"/>
              </w:rPr>
              <w:t>配送</w:t>
            </w:r>
            <w:r>
              <w:rPr>
                <w:rFonts w:hint="eastAsia" w:eastAsiaTheme="minorEastAsia"/>
                <w:sz w:val="24"/>
                <w:szCs w:val="24"/>
                <w:highlight w:val="none"/>
              </w:rPr>
              <w:t>领域的共享换电模式。</w:t>
            </w:r>
          </w:p>
          <w:p>
            <w:pPr>
              <w:keepNext w:val="0"/>
              <w:keepLines w:val="0"/>
              <w:suppressLineNumbers w:val="0"/>
              <w:spacing w:before="0" w:beforeAutospacing="0" w:after="0" w:afterAutospacing="0"/>
              <w:ind w:left="0" w:right="0" w:firstLine="480"/>
              <w:rPr>
                <w:rFonts w:hint="default" w:eastAsiaTheme="minorEastAsia"/>
                <w:sz w:val="24"/>
                <w:szCs w:val="24"/>
                <w:highlight w:val="none"/>
              </w:rPr>
            </w:pPr>
            <w:r>
              <w:rPr>
                <w:rFonts w:hint="eastAsia" w:eastAsiaTheme="minorEastAsia"/>
                <w:sz w:val="24"/>
                <w:szCs w:val="24"/>
                <w:highlight w:val="none"/>
              </w:rPr>
              <w:t>此外，当前换电模式标准尚未统一，服务车型品牌单一，换电站资源综合利用效率不高。应加快换电车型、标准电池包、换电设备、场站消防安全等标准制定，推动主要应用领域形成统一的换电标准，提升换电模式的安全性、可靠性与经济性。</w:t>
            </w:r>
          </w:p>
        </w:tc>
      </w:tr>
    </w:tbl>
    <w:p>
      <w:pPr>
        <w:pStyle w:val="2"/>
        <w:ind w:firstLine="0" w:firstLineChars="0"/>
        <w:rPr>
          <w:highlight w:val="none"/>
        </w:rPr>
      </w:pPr>
    </w:p>
    <w:p>
      <w:pPr>
        <w:bidi w:val="0"/>
        <w:rPr>
          <w:b/>
          <w:highlight w:val="none"/>
        </w:rPr>
      </w:pPr>
      <w:r>
        <w:rPr>
          <w:rFonts w:hint="eastAsia"/>
          <w:b/>
          <w:bCs/>
        </w:rPr>
        <w:t>数字化改革为充电基础设施发展提供新应用场景</w:t>
      </w:r>
      <w:r>
        <w:rPr>
          <w:rFonts w:hint="eastAsia"/>
          <w:b/>
          <w:bCs/>
          <w:lang w:eastAsia="zh-CN"/>
        </w:rPr>
        <w:t>。</w:t>
      </w:r>
      <w:r>
        <w:rPr>
          <w:rFonts w:hint="eastAsia"/>
          <w:bCs/>
          <w:highlight w:val="none"/>
        </w:rPr>
        <w:t>一方面，我国充电桩</w:t>
      </w:r>
      <w:r>
        <w:rPr>
          <w:rFonts w:hint="eastAsia"/>
          <w:bCs/>
          <w:highlight w:val="none"/>
          <w:lang w:eastAsia="zh-CN"/>
        </w:rPr>
        <w:t>运营商由单纯充电设施运营向出行服务商转型，</w:t>
      </w:r>
      <w:r>
        <w:rPr>
          <w:rFonts w:hint="eastAsia"/>
          <w:bCs/>
          <w:highlight w:val="none"/>
        </w:rPr>
        <w:t>滴滴、高德、哈罗出行等也纷纷跨界进入充电桩领域。充电网络有望通过物联网、大数据等技术实现与能源、交通领域以及城市大脑的融合发展，通过数据的互联互通共同打造智慧城市平台，提高社会整体智治水平。另一方面，“十</w:t>
      </w:r>
      <w:r>
        <w:rPr>
          <w:rFonts w:hint="eastAsia"/>
          <w:highlight w:val="none"/>
        </w:rPr>
        <w:t>四五”时期我省将积极推进建设统一找桩、统一结算、统一监管的充电基础设施管理平台，优化充电基础设施布局，充分发挥充电桩数据价值，构建一步打通人、车、路三大元素的数据交互，对车辆的实时管理，实现安全预警、用电量监控、峰谷调节、日均形势里程估算等场景的应用构建更多应用场景，更好的打造车-桩-电网-互联网的智能充电网络，提升充电桩利用率。</w:t>
      </w:r>
    </w:p>
    <w:p>
      <w:pPr>
        <w:pStyle w:val="3"/>
        <w:ind w:firstLine="640"/>
        <w:rPr>
          <w:highlight w:val="none"/>
        </w:rPr>
      </w:pPr>
      <w:bookmarkStart w:id="38" w:name="_Toc3423"/>
      <w:bookmarkStart w:id="39" w:name="_Toc66354660"/>
      <w:bookmarkStart w:id="40" w:name="_Toc18512"/>
      <w:r>
        <w:rPr>
          <w:rFonts w:hint="eastAsia"/>
          <w:highlight w:val="none"/>
        </w:rPr>
        <w:t>二、总体要求</w:t>
      </w:r>
      <w:bookmarkEnd w:id="38"/>
      <w:bookmarkEnd w:id="39"/>
      <w:bookmarkEnd w:id="40"/>
    </w:p>
    <w:p>
      <w:pPr>
        <w:pStyle w:val="4"/>
        <w:ind w:firstLine="643"/>
        <w:rPr>
          <w:rFonts w:ascii="Times New Roman" w:hAnsi="Times New Roman"/>
          <w:highlight w:val="none"/>
        </w:rPr>
      </w:pPr>
      <w:bookmarkStart w:id="41" w:name="_Toc28590"/>
      <w:bookmarkStart w:id="42" w:name="_Toc66354661"/>
      <w:bookmarkStart w:id="43" w:name="_Toc5260"/>
      <w:r>
        <w:rPr>
          <w:rFonts w:hint="eastAsia" w:ascii="Times New Roman" w:hAnsi="Times New Roman"/>
          <w:highlight w:val="none"/>
        </w:rPr>
        <w:t>（一）指导思想</w:t>
      </w:r>
      <w:bookmarkEnd w:id="41"/>
      <w:bookmarkEnd w:id="42"/>
      <w:bookmarkEnd w:id="43"/>
    </w:p>
    <w:p>
      <w:pPr>
        <w:ind w:firstLine="640"/>
        <w:rPr>
          <w:highlight w:val="none"/>
        </w:rPr>
      </w:pPr>
      <w:r>
        <w:rPr>
          <w:rFonts w:hint="eastAsia"/>
          <w:highlight w:val="none"/>
        </w:rPr>
        <w:t>以习近平新时代中国特色社会主义思想为指导，深入贯彻党的十九大和十九届二中、三中、四中、五中全会精神，遵循能源安全发展“四个革命、一个合作”战略思想，聚焦忠实践行“八八战略”、奋力打造“重要窗口”主题主线，</w:t>
      </w:r>
      <w:r>
        <w:rPr>
          <w:rFonts w:hint="eastAsia"/>
          <w:highlight w:val="none"/>
          <w:lang w:eastAsia="zh-CN"/>
        </w:rPr>
        <w:t>积极落实碳达峰碳中和决策部署，</w:t>
      </w:r>
      <w:r>
        <w:rPr>
          <w:rFonts w:hint="eastAsia"/>
          <w:highlight w:val="none"/>
        </w:rPr>
        <w:t>以数字化改革为牵引，以打造全市统一的充电基础设施智能服务平台为抓手，加快落实我</w:t>
      </w:r>
      <w:r>
        <w:rPr>
          <w:rFonts w:hint="eastAsia"/>
          <w:highlight w:val="none"/>
          <w:lang w:val="en-US" w:eastAsia="zh-CN"/>
        </w:rPr>
        <w:t>市</w:t>
      </w:r>
      <w:r>
        <w:rPr>
          <w:rFonts w:hint="eastAsia"/>
          <w:highlight w:val="none"/>
        </w:rPr>
        <w:t>充电基础设施建设的决策部署，拓展规模、优化布局，</w:t>
      </w:r>
      <w:r>
        <w:rPr>
          <w:highlight w:val="none"/>
        </w:rPr>
        <w:t>创新发展模式</w:t>
      </w:r>
      <w:r>
        <w:rPr>
          <w:rFonts w:hint="eastAsia"/>
          <w:highlight w:val="none"/>
        </w:rPr>
        <w:t>、</w:t>
      </w:r>
      <w:r>
        <w:rPr>
          <w:highlight w:val="none"/>
        </w:rPr>
        <w:t>完善扶持政策，培育良好的市场服务和应用环境</w:t>
      </w:r>
      <w:r>
        <w:rPr>
          <w:rFonts w:hint="eastAsia"/>
          <w:highlight w:val="none"/>
        </w:rPr>
        <w:t>，加快建立健全适度超前、车桩相随、智能高效、互联互通的充电基础设施体系，</w:t>
      </w:r>
      <w:r>
        <w:rPr>
          <w:rFonts w:hint="eastAsia"/>
          <w:highlight w:val="none"/>
          <w:lang w:eastAsia="zh-CN"/>
        </w:rPr>
        <w:t>促进</w:t>
      </w:r>
      <w:r>
        <w:rPr>
          <w:rFonts w:hint="eastAsia"/>
          <w:highlight w:val="none"/>
        </w:rPr>
        <w:t>电动汽车产业健康发展</w:t>
      </w:r>
      <w:r>
        <w:rPr>
          <w:rFonts w:hint="eastAsia"/>
          <w:highlight w:val="none"/>
          <w:lang w:eastAsia="zh-CN"/>
        </w:rPr>
        <w:t>，为义乌市交通领域碳达峰碳中和目标的实现提供有力支撑</w:t>
      </w:r>
      <w:r>
        <w:rPr>
          <w:rFonts w:hint="eastAsia"/>
          <w:highlight w:val="none"/>
        </w:rPr>
        <w:t>。</w:t>
      </w:r>
    </w:p>
    <w:p>
      <w:pPr>
        <w:pStyle w:val="4"/>
        <w:rPr>
          <w:rFonts w:ascii="Times New Roman" w:hAnsi="Times New Roman"/>
          <w:highlight w:val="none"/>
        </w:rPr>
      </w:pPr>
      <w:bookmarkStart w:id="44" w:name="_Toc12050"/>
      <w:bookmarkStart w:id="45" w:name="_Toc15854"/>
      <w:bookmarkStart w:id="46" w:name="_Toc66354662"/>
      <w:r>
        <w:rPr>
          <w:rFonts w:hint="eastAsia" w:ascii="Times New Roman" w:hAnsi="Times New Roman"/>
          <w:highlight w:val="none"/>
        </w:rPr>
        <w:t>（二）基本原则</w:t>
      </w:r>
      <w:bookmarkEnd w:id="44"/>
      <w:bookmarkEnd w:id="45"/>
      <w:bookmarkEnd w:id="46"/>
    </w:p>
    <w:p>
      <w:pPr>
        <w:bidi w:val="0"/>
        <w:rPr>
          <w:rFonts w:ascii="Times New Roman" w:hAnsi="Times New Roman" w:eastAsia="仿宋_GB2312" w:cs="Times New Roman"/>
          <w:snapToGrid w:val="0"/>
          <w:sz w:val="32"/>
          <w:szCs w:val="32"/>
          <w:highlight w:val="none"/>
        </w:rPr>
      </w:pPr>
      <w:bookmarkStart w:id="47" w:name="_Toc66354663"/>
      <w:bookmarkStart w:id="48" w:name="_Toc20844"/>
      <w:bookmarkStart w:id="49" w:name="_Toc65252678"/>
      <w:bookmarkStart w:id="50" w:name="_Toc5849"/>
      <w:r>
        <w:rPr>
          <w:rFonts w:hint="eastAsia"/>
          <w:b/>
          <w:bCs/>
        </w:rPr>
        <w:t>整体规划、适度超前</w:t>
      </w:r>
      <w:bookmarkEnd w:id="47"/>
      <w:bookmarkEnd w:id="48"/>
      <w:bookmarkEnd w:id="49"/>
      <w:bookmarkEnd w:id="50"/>
      <w:r>
        <w:rPr>
          <w:rFonts w:hint="eastAsia"/>
          <w:b/>
          <w:bCs/>
          <w:lang w:eastAsia="zh-CN"/>
        </w:rPr>
        <w:t>。</w:t>
      </w:r>
      <w:r>
        <w:rPr>
          <w:rFonts w:hint="eastAsia" w:ascii="Times New Roman" w:hAnsi="Times New Roman" w:eastAsia="仿宋_GB2312" w:cs="Times New Roman"/>
          <w:snapToGrid w:val="0"/>
          <w:sz w:val="32"/>
          <w:szCs w:val="32"/>
          <w:highlight w:val="none"/>
          <w:lang w:eastAsia="zh-CN"/>
        </w:rPr>
        <w:t>按照“一体、两翼、三片”的市域空间布局，</w:t>
      </w:r>
      <w:r>
        <w:rPr>
          <w:rFonts w:ascii="Times New Roman" w:hAnsi="Times New Roman" w:eastAsia="仿宋_GB2312" w:cs="Times New Roman"/>
          <w:snapToGrid w:val="0"/>
          <w:sz w:val="32"/>
          <w:szCs w:val="32"/>
          <w:highlight w:val="none"/>
        </w:rPr>
        <w:t>加强全市充电基础设施发展</w:t>
      </w:r>
      <w:r>
        <w:rPr>
          <w:rFonts w:hint="eastAsia" w:ascii="Times New Roman" w:hAnsi="Times New Roman" w:eastAsia="仿宋_GB2312" w:cs="Times New Roman"/>
          <w:snapToGrid w:val="0"/>
          <w:sz w:val="32"/>
          <w:szCs w:val="32"/>
          <w:highlight w:val="none"/>
        </w:rPr>
        <w:t>统一规划</w:t>
      </w:r>
      <w:r>
        <w:rPr>
          <w:rFonts w:ascii="Times New Roman" w:hAnsi="Times New Roman" w:eastAsia="仿宋_GB2312" w:cs="Times New Roman"/>
          <w:snapToGrid w:val="0"/>
          <w:sz w:val="32"/>
          <w:szCs w:val="32"/>
          <w:highlight w:val="none"/>
        </w:rPr>
        <w:t>，</w:t>
      </w:r>
      <w:r>
        <w:rPr>
          <w:rFonts w:hint="eastAsia" w:ascii="Times New Roman" w:hAnsi="Times New Roman" w:eastAsia="仿宋_GB2312" w:cs="Times New Roman"/>
          <w:snapToGrid w:val="0"/>
          <w:sz w:val="32"/>
          <w:szCs w:val="32"/>
          <w:highlight w:val="none"/>
        </w:rPr>
        <w:t>强化</w:t>
      </w:r>
      <w:r>
        <w:rPr>
          <w:rFonts w:ascii="Times New Roman" w:hAnsi="Times New Roman" w:eastAsia="仿宋_GB2312" w:cs="Times New Roman"/>
          <w:snapToGrid w:val="0"/>
          <w:sz w:val="32"/>
          <w:szCs w:val="32"/>
          <w:highlight w:val="none"/>
        </w:rPr>
        <w:t>全局统筹，按照桩站先行、适度超前</w:t>
      </w:r>
      <w:r>
        <w:rPr>
          <w:rFonts w:hint="eastAsia" w:ascii="Times New Roman" w:hAnsi="Times New Roman" w:eastAsia="仿宋_GB2312" w:cs="Times New Roman"/>
          <w:snapToGrid w:val="0"/>
          <w:sz w:val="32"/>
          <w:szCs w:val="32"/>
          <w:highlight w:val="none"/>
        </w:rPr>
        <w:t>理念</w:t>
      </w:r>
      <w:r>
        <w:rPr>
          <w:rFonts w:ascii="Times New Roman" w:hAnsi="Times New Roman" w:eastAsia="仿宋_GB2312" w:cs="Times New Roman"/>
          <w:snapToGrid w:val="0"/>
          <w:sz w:val="32"/>
          <w:szCs w:val="32"/>
          <w:highlight w:val="none"/>
        </w:rPr>
        <w:t>，建立政府有关部门与相关企业各司其职、各尽所能、群策群力、合作共赢的推进机制，推进充电基础设施科学发展。</w:t>
      </w:r>
    </w:p>
    <w:p>
      <w:pPr>
        <w:bidi w:val="0"/>
        <w:rPr>
          <w:rFonts w:ascii="Times New Roman" w:hAnsi="Times New Roman" w:eastAsia="仿宋_GB2312" w:cs="Times New Roman"/>
          <w:snapToGrid w:val="0"/>
          <w:sz w:val="32"/>
          <w:szCs w:val="32"/>
          <w:highlight w:val="none"/>
        </w:rPr>
      </w:pPr>
      <w:bookmarkStart w:id="51" w:name="_Toc66354664"/>
      <w:bookmarkStart w:id="52" w:name="_Toc65252679"/>
      <w:bookmarkStart w:id="53" w:name="_Toc14183"/>
      <w:bookmarkStart w:id="54" w:name="_Toc23130"/>
      <w:r>
        <w:rPr>
          <w:rFonts w:hint="eastAsia"/>
          <w:b/>
          <w:bCs/>
        </w:rPr>
        <w:t>因地制宜、</w:t>
      </w:r>
      <w:bookmarkEnd w:id="51"/>
      <w:bookmarkEnd w:id="52"/>
      <w:r>
        <w:rPr>
          <w:rFonts w:hint="eastAsia"/>
          <w:b/>
          <w:bCs/>
        </w:rPr>
        <w:t>分类实施</w:t>
      </w:r>
      <w:bookmarkEnd w:id="53"/>
      <w:bookmarkEnd w:id="54"/>
      <w:r>
        <w:rPr>
          <w:rFonts w:hint="eastAsia"/>
          <w:b/>
          <w:bCs/>
          <w:lang w:eastAsia="zh-CN"/>
        </w:rPr>
        <w:t>。</w:t>
      </w:r>
      <w:r>
        <w:rPr>
          <w:rFonts w:ascii="Times New Roman" w:hAnsi="Times New Roman" w:eastAsia="仿宋_GB2312" w:cs="Times New Roman"/>
          <w:snapToGrid w:val="0"/>
          <w:sz w:val="32"/>
          <w:szCs w:val="32"/>
          <w:highlight w:val="none"/>
        </w:rPr>
        <w:t>结合城市交通路网、住宅及建设用地规划情况</w:t>
      </w:r>
      <w:r>
        <w:rPr>
          <w:rFonts w:hint="eastAsia" w:ascii="Times New Roman" w:hAnsi="Times New Roman" w:eastAsia="仿宋_GB2312" w:cs="Times New Roman"/>
          <w:snapToGrid w:val="0"/>
          <w:sz w:val="32"/>
          <w:szCs w:val="32"/>
          <w:highlight w:val="none"/>
        </w:rPr>
        <w:t>，</w:t>
      </w:r>
      <w:r>
        <w:rPr>
          <w:rFonts w:ascii="Times New Roman" w:hAnsi="Times New Roman" w:eastAsia="仿宋_GB2312" w:cs="Times New Roman"/>
          <w:snapToGrid w:val="0"/>
          <w:sz w:val="32"/>
          <w:szCs w:val="32"/>
          <w:highlight w:val="none"/>
        </w:rPr>
        <w:t>倡导节约用地，集约发展的理念，按照合建为主</w:t>
      </w:r>
      <w:r>
        <w:rPr>
          <w:rFonts w:hint="eastAsia" w:ascii="Times New Roman" w:hAnsi="Times New Roman" w:eastAsia="仿宋_GB2312" w:cs="Times New Roman"/>
          <w:snapToGrid w:val="0"/>
          <w:sz w:val="32"/>
          <w:szCs w:val="32"/>
          <w:highlight w:val="none"/>
        </w:rPr>
        <w:t>、</w:t>
      </w:r>
      <w:r>
        <w:rPr>
          <w:rFonts w:ascii="Times New Roman" w:hAnsi="Times New Roman" w:eastAsia="仿宋_GB2312" w:cs="Times New Roman"/>
          <w:snapToGrid w:val="0"/>
          <w:sz w:val="32"/>
          <w:szCs w:val="32"/>
          <w:highlight w:val="none"/>
        </w:rPr>
        <w:t>单建为辅的原则</w:t>
      </w:r>
      <w:r>
        <w:rPr>
          <w:rFonts w:hint="eastAsia" w:ascii="Times New Roman" w:hAnsi="Times New Roman" w:eastAsia="仿宋_GB2312" w:cs="Times New Roman"/>
          <w:snapToGrid w:val="0"/>
          <w:sz w:val="32"/>
          <w:szCs w:val="32"/>
          <w:highlight w:val="none"/>
        </w:rPr>
        <w:t>，优化</w:t>
      </w:r>
      <w:r>
        <w:rPr>
          <w:rFonts w:ascii="Times New Roman" w:hAnsi="Times New Roman" w:eastAsia="仿宋_GB2312" w:cs="Times New Roman"/>
          <w:snapToGrid w:val="0"/>
          <w:sz w:val="32"/>
          <w:szCs w:val="32"/>
          <w:highlight w:val="none"/>
        </w:rPr>
        <w:t>充电基础设布局施。</w:t>
      </w:r>
      <w:r>
        <w:rPr>
          <w:rFonts w:hint="eastAsia" w:ascii="Times New Roman" w:hAnsi="Times New Roman" w:eastAsia="仿宋_GB2312" w:cs="Times New Roman"/>
          <w:snapToGrid w:val="0"/>
          <w:sz w:val="32"/>
          <w:szCs w:val="32"/>
          <w:highlight w:val="none"/>
        </w:rPr>
        <w:t>遵循“市场主导、快慢互济、充换并举”的技术导向，有序推进各领域充电基础设施发展</w:t>
      </w:r>
      <w:r>
        <w:rPr>
          <w:rFonts w:ascii="Times New Roman" w:hAnsi="Times New Roman" w:eastAsia="仿宋_GB2312" w:cs="Times New Roman"/>
          <w:snapToGrid w:val="0"/>
          <w:sz w:val="32"/>
          <w:szCs w:val="32"/>
          <w:highlight w:val="none"/>
        </w:rPr>
        <w:t>。</w:t>
      </w:r>
    </w:p>
    <w:p>
      <w:pPr>
        <w:bidi w:val="0"/>
        <w:rPr>
          <w:szCs w:val="32"/>
          <w:highlight w:val="none"/>
        </w:rPr>
      </w:pPr>
      <w:bookmarkStart w:id="55" w:name="_Toc66354665"/>
      <w:bookmarkStart w:id="56" w:name="_Toc3563156"/>
      <w:bookmarkStart w:id="57" w:name="_Toc65252680"/>
      <w:bookmarkStart w:id="58" w:name="_Toc28934"/>
      <w:bookmarkStart w:id="59" w:name="_Toc6470"/>
      <w:r>
        <w:rPr>
          <w:rFonts w:hint="eastAsia"/>
          <w:b/>
          <w:bCs/>
        </w:rPr>
        <w:t>桩网物联、智慧管理</w:t>
      </w:r>
      <w:bookmarkEnd w:id="55"/>
      <w:bookmarkEnd w:id="56"/>
      <w:bookmarkEnd w:id="57"/>
      <w:bookmarkEnd w:id="58"/>
      <w:bookmarkEnd w:id="59"/>
      <w:r>
        <w:rPr>
          <w:rFonts w:hint="eastAsia"/>
          <w:b/>
          <w:bCs/>
          <w:lang w:eastAsia="zh-CN"/>
        </w:rPr>
        <w:t>。</w:t>
      </w:r>
      <w:r>
        <w:rPr>
          <w:rFonts w:hint="eastAsia"/>
          <w:szCs w:val="32"/>
          <w:highlight w:val="none"/>
        </w:rPr>
        <w:t>以物联网、大数据、云计算和人工智能为技术依托，加快建立全市统一的充电基础设施智能服务平台，扩展充电桩智慧感知功能与智慧交通、智慧能源、无人驾驶、无线充电等技术集成，推进“互联网+充电基础设施”深度融合。</w:t>
      </w:r>
    </w:p>
    <w:p>
      <w:pPr>
        <w:pStyle w:val="3"/>
        <w:ind w:firstLine="640"/>
        <w:rPr>
          <w:highlight w:val="none"/>
        </w:rPr>
      </w:pPr>
      <w:bookmarkStart w:id="60" w:name="_Toc4711"/>
      <w:bookmarkStart w:id="61" w:name="_Toc66354666"/>
      <w:bookmarkStart w:id="62" w:name="_Toc9528"/>
      <w:r>
        <w:rPr>
          <w:rFonts w:hint="eastAsia"/>
          <w:highlight w:val="none"/>
        </w:rPr>
        <w:t>三、发展目标</w:t>
      </w:r>
      <w:bookmarkEnd w:id="60"/>
      <w:bookmarkEnd w:id="61"/>
      <w:bookmarkEnd w:id="62"/>
    </w:p>
    <w:p>
      <w:pPr>
        <w:ind w:firstLine="640"/>
        <w:rPr>
          <w:highlight w:val="none"/>
        </w:rPr>
      </w:pPr>
      <w:r>
        <w:rPr>
          <w:rFonts w:hint="eastAsia"/>
          <w:highlight w:val="none"/>
        </w:rPr>
        <w:t>依据电动汽车充换电设施的服务能力服务半径和设施利用率等因素，并结合义乌市电动车发展趋势，科学设定充电设施发展目标。</w:t>
      </w:r>
    </w:p>
    <w:p>
      <w:pPr>
        <w:pStyle w:val="4"/>
        <w:tabs>
          <w:tab w:val="left" w:pos="3621"/>
        </w:tabs>
        <w:ind w:firstLine="643"/>
        <w:rPr>
          <w:rFonts w:ascii="Times New Roman" w:hAnsi="Times New Roman"/>
          <w:highlight w:val="none"/>
        </w:rPr>
      </w:pPr>
      <w:bookmarkStart w:id="63" w:name="_Toc20169"/>
      <w:bookmarkStart w:id="64" w:name="_Toc66354667"/>
      <w:bookmarkStart w:id="65" w:name="_Toc9336"/>
      <w:r>
        <w:rPr>
          <w:rFonts w:hint="eastAsia" w:ascii="Times New Roman" w:hAnsi="Times New Roman"/>
          <w:highlight w:val="none"/>
        </w:rPr>
        <w:t>（一）整体目标</w:t>
      </w:r>
      <w:bookmarkEnd w:id="63"/>
      <w:bookmarkEnd w:id="64"/>
      <w:bookmarkEnd w:id="65"/>
      <w:r>
        <w:rPr>
          <w:rFonts w:ascii="Times New Roman" w:hAnsi="Times New Roman"/>
          <w:highlight w:val="none"/>
        </w:rPr>
        <w:tab/>
      </w:r>
    </w:p>
    <w:p>
      <w:pPr>
        <w:ind w:firstLine="640"/>
        <w:rPr>
          <w:highlight w:val="none"/>
        </w:rPr>
      </w:pPr>
      <w:r>
        <w:rPr>
          <w:rFonts w:hint="eastAsia" w:cs="Times New Roman"/>
          <w:snapToGrid w:val="0"/>
          <w:szCs w:val="32"/>
          <w:highlight w:val="none"/>
        </w:rPr>
        <w:t>加快充电基础设施物联网建设和互联互通，建设全市具有统一找桩、统一监管、支付便捷的充电基础设施管理平台，构建车桩匹配、智能高效的充电基础设施体系，有效提高充电基础设施利用效率。</w:t>
      </w:r>
      <w:r>
        <w:rPr>
          <w:rFonts w:cs="Times New Roman"/>
          <w:snapToGrid w:val="0"/>
          <w:szCs w:val="32"/>
          <w:highlight w:val="none"/>
        </w:rPr>
        <w:t>到202</w:t>
      </w:r>
      <w:r>
        <w:rPr>
          <w:rFonts w:hint="eastAsia" w:cs="Times New Roman"/>
          <w:snapToGrid w:val="0"/>
          <w:szCs w:val="32"/>
          <w:highlight w:val="none"/>
        </w:rPr>
        <w:t>5</w:t>
      </w:r>
      <w:r>
        <w:rPr>
          <w:rFonts w:cs="Times New Roman"/>
          <w:snapToGrid w:val="0"/>
          <w:szCs w:val="32"/>
          <w:highlight w:val="none"/>
        </w:rPr>
        <w:t>年，</w:t>
      </w:r>
      <w:r>
        <w:rPr>
          <w:rFonts w:hint="eastAsia" w:cs="Times New Roman"/>
          <w:snapToGrid w:val="0"/>
          <w:szCs w:val="32"/>
          <w:highlight w:val="none"/>
        </w:rPr>
        <w:t>全面实施</w:t>
      </w:r>
      <w:r>
        <w:rPr>
          <w:rFonts w:hint="eastAsia" w:cs="Times New Roman"/>
          <w:b/>
          <w:bCs/>
          <w:snapToGrid w:val="0"/>
          <w:szCs w:val="32"/>
          <w:highlight w:val="none"/>
        </w:rPr>
        <w:t>“百千万”</w:t>
      </w:r>
      <w:r>
        <w:rPr>
          <w:rFonts w:hint="eastAsia" w:cs="Times New Roman"/>
          <w:snapToGrid w:val="0"/>
          <w:szCs w:val="32"/>
          <w:highlight w:val="none"/>
        </w:rPr>
        <w:t>行动，</w:t>
      </w:r>
      <w:r>
        <w:rPr>
          <w:rFonts w:cs="Times New Roman"/>
          <w:snapToGrid w:val="0"/>
          <w:szCs w:val="32"/>
          <w:highlight w:val="none"/>
        </w:rPr>
        <w:t>全市共计</w:t>
      </w:r>
      <w:r>
        <w:rPr>
          <w:rFonts w:hint="eastAsia" w:cs="Times New Roman"/>
          <w:snapToGrid w:val="0"/>
          <w:szCs w:val="32"/>
          <w:highlight w:val="none"/>
        </w:rPr>
        <w:t>建成充换电站1</w:t>
      </w:r>
      <w:r>
        <w:rPr>
          <w:rFonts w:hint="eastAsia" w:cs="Times New Roman"/>
          <w:snapToGrid w:val="0"/>
          <w:szCs w:val="32"/>
          <w:highlight w:val="none"/>
          <w:lang w:val="en-US" w:eastAsia="zh-CN"/>
        </w:rPr>
        <w:t>30</w:t>
      </w:r>
      <w:r>
        <w:rPr>
          <w:rFonts w:hint="eastAsia" w:cs="Times New Roman"/>
          <w:snapToGrid w:val="0"/>
          <w:szCs w:val="32"/>
          <w:highlight w:val="none"/>
        </w:rPr>
        <w:t>座以上，公共领域充电桩达</w:t>
      </w:r>
      <w:r>
        <w:rPr>
          <w:rFonts w:hint="eastAsia" w:cs="Times New Roman"/>
          <w:snapToGrid w:val="0"/>
          <w:szCs w:val="32"/>
          <w:highlight w:val="none"/>
          <w:lang w:val="en-US" w:eastAsia="zh-CN"/>
        </w:rPr>
        <w:t>3</w:t>
      </w:r>
      <w:r>
        <w:rPr>
          <w:rFonts w:hint="eastAsia" w:cs="Times New Roman"/>
          <w:snapToGrid w:val="0"/>
          <w:szCs w:val="32"/>
          <w:highlight w:val="none"/>
        </w:rPr>
        <w:t>000个以上（其中智能公用充电桩</w:t>
      </w:r>
      <w:r>
        <w:rPr>
          <w:rFonts w:hint="eastAsia" w:cs="Times New Roman"/>
          <w:snapToGrid w:val="0"/>
          <w:szCs w:val="32"/>
          <w:highlight w:val="none"/>
          <w:lang w:val="en-US" w:eastAsia="zh-CN"/>
        </w:rPr>
        <w:t>20</w:t>
      </w:r>
      <w:r>
        <w:rPr>
          <w:rFonts w:hint="eastAsia" w:cs="Times New Roman"/>
          <w:snapToGrid w:val="0"/>
          <w:szCs w:val="32"/>
          <w:highlight w:val="none"/>
        </w:rPr>
        <w:t>00个以上），自用充电桩新增10000个以上</w:t>
      </w:r>
      <w:r>
        <w:rPr>
          <w:rFonts w:cs="Times New Roman"/>
          <w:snapToGrid w:val="0"/>
          <w:szCs w:val="32"/>
          <w:highlight w:val="none"/>
        </w:rPr>
        <w:t>。</w:t>
      </w:r>
      <w:r>
        <w:rPr>
          <w:highlight w:val="none"/>
        </w:rPr>
        <w:t>到2025年，城市核心区公共充电服务半径为</w:t>
      </w:r>
      <w:r>
        <w:rPr>
          <w:rFonts w:hint="eastAsia"/>
          <w:highlight w:val="none"/>
        </w:rPr>
        <w:t>0.8</w:t>
      </w:r>
      <w:r>
        <w:rPr>
          <w:highlight w:val="none"/>
        </w:rPr>
        <w:t>公里左右，城市郊区公共充电服务半径</w:t>
      </w:r>
      <w:r>
        <w:rPr>
          <w:rFonts w:hint="eastAsia"/>
          <w:highlight w:val="none"/>
          <w:lang w:val="en-US" w:eastAsia="zh-CN"/>
        </w:rPr>
        <w:t>为</w:t>
      </w:r>
      <w:r>
        <w:rPr>
          <w:highlight w:val="none"/>
        </w:rPr>
        <w:t>2公里</w:t>
      </w:r>
      <w:r>
        <w:rPr>
          <w:rFonts w:hint="eastAsia"/>
          <w:highlight w:val="none"/>
          <w:lang w:val="en-US" w:eastAsia="zh-CN"/>
        </w:rPr>
        <w:t>左右</w:t>
      </w:r>
      <w:r>
        <w:rPr>
          <w:rFonts w:hint="eastAsia"/>
          <w:highlight w:val="none"/>
        </w:rPr>
        <w:t>，</w:t>
      </w:r>
      <w:r>
        <w:rPr>
          <w:rFonts w:hint="eastAsia" w:cs="Times New Roman"/>
          <w:snapToGrid w:val="0"/>
          <w:szCs w:val="32"/>
          <w:highlight w:val="none"/>
        </w:rPr>
        <w:t>全面积极推动城郊充电基础设施互联互通，构建覆盖全市核心区域及城市周边地区的智能充电服务网络，</w:t>
      </w:r>
      <w:r>
        <w:rPr>
          <w:rFonts w:cs="Times New Roman"/>
          <w:snapToGrid w:val="0"/>
          <w:szCs w:val="32"/>
          <w:highlight w:val="none"/>
        </w:rPr>
        <w:t>满足</w:t>
      </w:r>
      <w:r>
        <w:rPr>
          <w:rFonts w:hint="eastAsia" w:cs="Times New Roman"/>
          <w:snapToGrid w:val="0"/>
          <w:szCs w:val="32"/>
          <w:highlight w:val="none"/>
        </w:rPr>
        <w:t>日益增长的</w:t>
      </w:r>
      <w:r>
        <w:rPr>
          <w:rFonts w:cs="Times New Roman"/>
          <w:snapToGrid w:val="0"/>
          <w:szCs w:val="32"/>
          <w:highlight w:val="none"/>
        </w:rPr>
        <w:t>电动汽车充电需求</w:t>
      </w:r>
      <w:r>
        <w:rPr>
          <w:rFonts w:hint="eastAsia" w:cs="Times New Roman"/>
          <w:snapToGrid w:val="0"/>
          <w:szCs w:val="32"/>
          <w:highlight w:val="none"/>
        </w:rPr>
        <w:t>。</w:t>
      </w:r>
    </w:p>
    <w:p>
      <w:pPr>
        <w:pStyle w:val="4"/>
        <w:ind w:firstLine="643"/>
        <w:rPr>
          <w:rFonts w:ascii="Times New Roman" w:hAnsi="Times New Roman"/>
          <w:highlight w:val="none"/>
        </w:rPr>
      </w:pPr>
      <w:bookmarkStart w:id="66" w:name="_Toc1539"/>
      <w:bookmarkStart w:id="67" w:name="_Toc10513"/>
      <w:bookmarkStart w:id="68" w:name="_Toc66354668"/>
      <w:r>
        <w:rPr>
          <w:rFonts w:hint="eastAsia" w:ascii="Times New Roman" w:hAnsi="Times New Roman"/>
          <w:highlight w:val="none"/>
        </w:rPr>
        <w:t>（二）分领域发展目标</w:t>
      </w:r>
      <w:bookmarkEnd w:id="66"/>
      <w:bookmarkEnd w:id="67"/>
      <w:bookmarkEnd w:id="68"/>
    </w:p>
    <w:p>
      <w:pPr>
        <w:pStyle w:val="5"/>
        <w:ind w:firstLine="643"/>
        <w:rPr>
          <w:highlight w:val="none"/>
        </w:rPr>
      </w:pPr>
      <w:bookmarkStart w:id="69" w:name="_Toc70336039"/>
      <w:bookmarkStart w:id="70" w:name="_Toc28457"/>
      <w:bookmarkStart w:id="71" w:name="_Toc22558"/>
      <w:bookmarkStart w:id="72" w:name="_Toc13539"/>
      <w:bookmarkStart w:id="73" w:name="_Toc12324"/>
      <w:r>
        <w:rPr>
          <w:highlight w:val="none"/>
        </w:rPr>
        <w:t>1.</w:t>
      </w:r>
      <w:r>
        <w:rPr>
          <w:rFonts w:hint="eastAsia"/>
          <w:highlight w:val="none"/>
        </w:rPr>
        <w:t>公共领域充换电设施发展目标</w:t>
      </w:r>
      <w:bookmarkEnd w:id="69"/>
      <w:bookmarkEnd w:id="70"/>
      <w:bookmarkEnd w:id="71"/>
    </w:p>
    <w:bookmarkEnd w:id="72"/>
    <w:p>
      <w:pPr>
        <w:ind w:firstLine="640"/>
        <w:rPr>
          <w:b/>
          <w:highlight w:val="none"/>
        </w:rPr>
      </w:pPr>
      <w:bookmarkStart w:id="74" w:name="_Toc70336040"/>
      <w:bookmarkStart w:id="75" w:name="_Toc14131"/>
      <w:r>
        <w:rPr>
          <w:rFonts w:hint="eastAsia"/>
          <w:highlight w:val="none"/>
        </w:rPr>
        <w:t>公共领域充换电设施包含服务于特定公共领域的专用充换电设施和各类公用充换电设施。具体依托公共服务领域场站建设专用充换电设施以及依托公共建筑物配建停车场、社会公共停车场内、路边临时停车位等，配建以直流快充为主的公用充电设施，满足公交、出租、物流</w:t>
      </w:r>
      <w:r>
        <w:rPr>
          <w:rFonts w:hint="eastAsia"/>
          <w:highlight w:val="none"/>
          <w:lang w:eastAsia="zh-CN"/>
        </w:rPr>
        <w:t>配送</w:t>
      </w:r>
      <w:r>
        <w:rPr>
          <w:rFonts w:hint="eastAsia"/>
          <w:highlight w:val="none"/>
        </w:rPr>
        <w:t>、环卫、租赁、警务等公共服务领域的电动车以及私家车、公务车等电动汽车充电需求。到</w:t>
      </w:r>
      <w:r>
        <w:rPr>
          <w:highlight w:val="none"/>
        </w:rPr>
        <w:t>2025</w:t>
      </w:r>
      <w:r>
        <w:rPr>
          <w:rFonts w:hint="eastAsia"/>
          <w:highlight w:val="none"/>
        </w:rPr>
        <w:t>年，建成公共领域充换电站</w:t>
      </w:r>
      <w:r>
        <w:rPr>
          <w:rFonts w:hint="eastAsia"/>
          <w:highlight w:val="none"/>
          <w:lang w:val="en-US" w:eastAsia="zh-CN"/>
        </w:rPr>
        <w:t>130</w:t>
      </w:r>
      <w:r>
        <w:rPr>
          <w:rFonts w:hint="eastAsia"/>
          <w:highlight w:val="none"/>
        </w:rPr>
        <w:t>座以上，充电桩</w:t>
      </w:r>
      <w:r>
        <w:rPr>
          <w:rFonts w:hint="eastAsia"/>
          <w:highlight w:val="none"/>
          <w:lang w:val="en-US" w:eastAsia="zh-CN"/>
        </w:rPr>
        <w:t>3000</w:t>
      </w:r>
      <w:r>
        <w:rPr>
          <w:rFonts w:hint="eastAsia"/>
          <w:highlight w:val="none"/>
        </w:rPr>
        <w:t>个以上，其中，智能公用充电桩</w:t>
      </w:r>
      <w:r>
        <w:rPr>
          <w:rFonts w:hint="eastAsia"/>
          <w:highlight w:val="none"/>
          <w:lang w:val="en-US" w:eastAsia="zh-CN"/>
        </w:rPr>
        <w:t>2000</w:t>
      </w:r>
      <w:r>
        <w:rPr>
          <w:rFonts w:hint="eastAsia"/>
          <w:highlight w:val="none"/>
        </w:rPr>
        <w:t>个以上。“十四五”期间，新增公用充电桩应全部具备智能充电功能，同时现有充电桩智能化改造比例不低于25</w:t>
      </w:r>
      <w:r>
        <w:rPr>
          <w:highlight w:val="none"/>
        </w:rPr>
        <w:t>%</w:t>
      </w:r>
      <w:r>
        <w:rPr>
          <w:rFonts w:hint="eastAsia"/>
          <w:highlight w:val="none"/>
        </w:rPr>
        <w:t>以上。</w:t>
      </w:r>
      <w:bookmarkEnd w:id="73"/>
      <w:bookmarkEnd w:id="74"/>
      <w:bookmarkEnd w:id="75"/>
      <w:bookmarkStart w:id="76" w:name="_Toc4771"/>
    </w:p>
    <w:bookmarkEnd w:id="76"/>
    <w:p>
      <w:pPr>
        <w:pStyle w:val="5"/>
        <w:ind w:firstLine="643"/>
        <w:rPr>
          <w:highlight w:val="none"/>
        </w:rPr>
      </w:pPr>
      <w:bookmarkStart w:id="77" w:name="_Toc66354670"/>
      <w:bookmarkStart w:id="78" w:name="_Toc65252685"/>
      <w:bookmarkStart w:id="79" w:name="_Toc14608"/>
      <w:bookmarkStart w:id="80" w:name="_Toc20586"/>
      <w:r>
        <w:rPr>
          <w:rFonts w:hint="eastAsia" w:cs="Times New Roman"/>
          <w:highlight w:val="none"/>
        </w:rPr>
        <w:t>2.</w:t>
      </w:r>
      <w:bookmarkEnd w:id="77"/>
      <w:bookmarkEnd w:id="78"/>
      <w:r>
        <w:rPr>
          <w:rFonts w:hint="eastAsia"/>
          <w:highlight w:val="none"/>
        </w:rPr>
        <w:t>自用充电设施发展目标</w:t>
      </w:r>
      <w:bookmarkEnd w:id="79"/>
      <w:bookmarkEnd w:id="80"/>
    </w:p>
    <w:p>
      <w:pPr>
        <w:spacing w:line="590" w:lineRule="exact"/>
        <w:ind w:firstLine="640"/>
        <w:rPr>
          <w:rFonts w:hint="eastAsia"/>
          <w:szCs w:val="32"/>
          <w:highlight w:val="none"/>
        </w:rPr>
      </w:pPr>
      <w:r>
        <w:rPr>
          <w:szCs w:val="32"/>
          <w:highlight w:val="none"/>
        </w:rPr>
        <w:t>在用户居住地停车位、单位内部停车位加快推进以交流慢充为主的自用充电桩建设，满足普通电动乘用车基本充电需求。到202</w:t>
      </w:r>
      <w:r>
        <w:rPr>
          <w:rFonts w:hint="eastAsia"/>
          <w:szCs w:val="32"/>
          <w:highlight w:val="none"/>
        </w:rPr>
        <w:t>5</w:t>
      </w:r>
      <w:r>
        <w:rPr>
          <w:szCs w:val="32"/>
          <w:highlight w:val="none"/>
        </w:rPr>
        <w:t>年，新建用户自用充电</w:t>
      </w:r>
      <w:r>
        <w:rPr>
          <w:rFonts w:hint="eastAsia"/>
          <w:szCs w:val="32"/>
          <w:highlight w:val="none"/>
        </w:rPr>
        <w:t>桩10000个以上</w:t>
      </w:r>
      <w:r>
        <w:rPr>
          <w:szCs w:val="32"/>
          <w:highlight w:val="none"/>
        </w:rPr>
        <w:t>。</w:t>
      </w:r>
      <w:r>
        <w:rPr>
          <w:rFonts w:hint="eastAsia"/>
          <w:szCs w:val="32"/>
          <w:highlight w:val="none"/>
        </w:rPr>
        <w:t>鼓励随车配送自动充电设施具备智能充电功能。</w:t>
      </w:r>
    </w:p>
    <w:p>
      <w:pPr>
        <w:pStyle w:val="2"/>
      </w:pPr>
    </w:p>
    <w:p>
      <w:pPr>
        <w:ind w:firstLine="0" w:firstLineChars="0"/>
        <w:jc w:val="center"/>
        <w:rPr>
          <w:rFonts w:cs="Times New Roman"/>
          <w:b/>
          <w:highlight w:val="none"/>
          <w:shd w:val="clear" w:color="auto" w:fill="FFFFFF"/>
        </w:rPr>
      </w:pPr>
      <w:bookmarkStart w:id="81" w:name="_Toc70336041"/>
      <w:bookmarkStart w:id="82" w:name="_Toc17284"/>
      <w:bookmarkStart w:id="83" w:name="_Toc31163"/>
    </w:p>
    <w:p>
      <w:pPr>
        <w:pStyle w:val="2"/>
      </w:pPr>
    </w:p>
    <w:p>
      <w:pPr>
        <w:ind w:firstLine="0" w:firstLineChars="0"/>
        <w:jc w:val="center"/>
        <w:rPr>
          <w:rFonts w:cs="Times New Roman"/>
          <w:b/>
          <w:highlight w:val="none"/>
          <w:shd w:val="clear" w:color="auto" w:fill="FFFFFF"/>
        </w:rPr>
      </w:pPr>
      <w:r>
        <w:rPr>
          <w:rFonts w:cs="Times New Roman"/>
          <w:b/>
          <w:highlight w:val="none"/>
          <w:shd w:val="clear" w:color="auto" w:fill="FFFFFF"/>
        </w:rPr>
        <w:t>表</w:t>
      </w:r>
      <w:r>
        <w:rPr>
          <w:rFonts w:hint="eastAsia" w:cs="Times New Roman"/>
          <w:b/>
          <w:highlight w:val="none"/>
          <w:shd w:val="clear" w:color="auto" w:fill="FFFFFF"/>
        </w:rPr>
        <w:t>4</w:t>
      </w:r>
      <w:r>
        <w:rPr>
          <w:rFonts w:cs="Times New Roman"/>
          <w:b/>
          <w:highlight w:val="none"/>
          <w:shd w:val="clear" w:color="auto" w:fill="FFFFFF"/>
        </w:rPr>
        <w:t xml:space="preserve"> 分年度充电设施建设目标</w:t>
      </w:r>
      <w:bookmarkEnd w:id="81"/>
      <w:bookmarkEnd w:id="82"/>
      <w:bookmarkEnd w:id="83"/>
    </w:p>
    <w:tbl>
      <w:tblPr>
        <w:tblStyle w:val="16"/>
        <w:tblW w:w="8631" w:type="dxa"/>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243"/>
        <w:gridCol w:w="922"/>
        <w:gridCol w:w="933"/>
        <w:gridCol w:w="933"/>
        <w:gridCol w:w="933"/>
        <w:gridCol w:w="933"/>
        <w:gridCol w:w="870"/>
        <w:gridCol w:w="864"/>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3165" w:type="dxa"/>
            <w:gridSpan w:val="2"/>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4"/>
                <w:szCs w:val="21"/>
                <w:highlight w:val="none"/>
              </w:rPr>
            </w:pPr>
            <w:r>
              <w:rPr>
                <w:rFonts w:hint="eastAsia"/>
                <w:b/>
                <w:sz w:val="24"/>
                <w:szCs w:val="21"/>
                <w:highlight w:val="none"/>
              </w:rPr>
              <w:t>类型</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4"/>
                <w:szCs w:val="21"/>
                <w:highlight w:val="none"/>
              </w:rPr>
            </w:pPr>
            <w:r>
              <w:rPr>
                <w:rFonts w:hint="eastAsia"/>
                <w:b/>
                <w:sz w:val="24"/>
                <w:szCs w:val="21"/>
                <w:highlight w:val="none"/>
              </w:rPr>
              <w:t>2021年</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4"/>
                <w:szCs w:val="21"/>
                <w:highlight w:val="none"/>
              </w:rPr>
            </w:pPr>
            <w:r>
              <w:rPr>
                <w:rFonts w:hint="eastAsia"/>
                <w:b/>
                <w:sz w:val="24"/>
                <w:szCs w:val="21"/>
                <w:highlight w:val="none"/>
              </w:rPr>
              <w:t>2022年</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4"/>
                <w:szCs w:val="21"/>
                <w:highlight w:val="none"/>
              </w:rPr>
            </w:pPr>
            <w:r>
              <w:rPr>
                <w:rFonts w:hint="eastAsia"/>
                <w:b/>
                <w:sz w:val="24"/>
                <w:szCs w:val="21"/>
                <w:highlight w:val="none"/>
              </w:rPr>
              <w:t>2023年</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4"/>
                <w:szCs w:val="21"/>
                <w:highlight w:val="none"/>
              </w:rPr>
            </w:pPr>
            <w:r>
              <w:rPr>
                <w:rFonts w:hint="eastAsia"/>
                <w:b/>
                <w:sz w:val="24"/>
                <w:szCs w:val="21"/>
                <w:highlight w:val="none"/>
              </w:rPr>
              <w:t>2024年</w:t>
            </w:r>
          </w:p>
        </w:tc>
        <w:tc>
          <w:tcPr>
            <w:tcW w:w="87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4"/>
                <w:szCs w:val="21"/>
                <w:highlight w:val="none"/>
              </w:rPr>
            </w:pPr>
            <w:r>
              <w:rPr>
                <w:rFonts w:hint="eastAsia"/>
                <w:b/>
                <w:sz w:val="24"/>
                <w:szCs w:val="21"/>
                <w:highlight w:val="none"/>
              </w:rPr>
              <w:t>2025年</w:t>
            </w:r>
          </w:p>
        </w:tc>
        <w:tc>
          <w:tcPr>
            <w:tcW w:w="86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4"/>
                <w:szCs w:val="21"/>
                <w:highlight w:val="none"/>
              </w:rPr>
            </w:pPr>
            <w:r>
              <w:rPr>
                <w:rFonts w:hint="eastAsia"/>
                <w:b/>
                <w:sz w:val="24"/>
                <w:szCs w:val="21"/>
                <w:highlight w:val="none"/>
              </w:rPr>
              <w:t>合计</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43"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4"/>
                <w:szCs w:val="21"/>
                <w:highlight w:val="none"/>
              </w:rPr>
            </w:pPr>
            <w:r>
              <w:rPr>
                <w:rFonts w:hint="eastAsia"/>
                <w:b/>
                <w:sz w:val="24"/>
                <w:szCs w:val="21"/>
                <w:highlight w:val="none"/>
              </w:rPr>
              <w:t>公共领域充换电站（座）</w:t>
            </w:r>
          </w:p>
        </w:tc>
        <w:tc>
          <w:tcPr>
            <w:tcW w:w="92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4"/>
                <w:szCs w:val="21"/>
                <w:highlight w:val="none"/>
              </w:rPr>
            </w:pPr>
            <w:r>
              <w:rPr>
                <w:rFonts w:hint="eastAsia"/>
                <w:b/>
                <w:sz w:val="24"/>
                <w:szCs w:val="21"/>
                <w:highlight w:val="none"/>
              </w:rPr>
              <w:t>目标</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仿宋_GB2312"/>
                <w:sz w:val="24"/>
                <w:szCs w:val="21"/>
                <w:highlight w:val="none"/>
                <w:lang w:eastAsia="zh-CN"/>
              </w:rPr>
            </w:pPr>
            <w:r>
              <w:rPr>
                <w:rFonts w:hint="eastAsia"/>
                <w:sz w:val="24"/>
                <w:szCs w:val="21"/>
                <w:highlight w:val="none"/>
              </w:rPr>
              <w:t>9</w:t>
            </w:r>
            <w:r>
              <w:rPr>
                <w:rFonts w:hint="eastAsia"/>
                <w:sz w:val="24"/>
                <w:szCs w:val="21"/>
                <w:highlight w:val="none"/>
                <w:lang w:val="en-US" w:eastAsia="zh-CN"/>
              </w:rPr>
              <w:t>8</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仿宋_GB2312"/>
                <w:sz w:val="24"/>
                <w:szCs w:val="21"/>
                <w:highlight w:val="none"/>
                <w:lang w:val="en-US" w:eastAsia="zh-CN"/>
              </w:rPr>
            </w:pPr>
            <w:r>
              <w:rPr>
                <w:rFonts w:hint="eastAsia"/>
                <w:sz w:val="24"/>
                <w:szCs w:val="21"/>
                <w:highlight w:val="none"/>
                <w:lang w:val="en-US" w:eastAsia="zh-CN"/>
              </w:rPr>
              <w:t>106</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仿宋_GB2312"/>
                <w:sz w:val="24"/>
                <w:szCs w:val="21"/>
                <w:highlight w:val="none"/>
                <w:lang w:val="en-US" w:eastAsia="zh-CN"/>
              </w:rPr>
            </w:pPr>
            <w:r>
              <w:rPr>
                <w:rFonts w:hint="eastAsia"/>
                <w:sz w:val="24"/>
                <w:szCs w:val="21"/>
                <w:highlight w:val="none"/>
              </w:rPr>
              <w:t>1</w:t>
            </w:r>
            <w:r>
              <w:rPr>
                <w:rFonts w:hint="eastAsia"/>
                <w:sz w:val="24"/>
                <w:szCs w:val="21"/>
                <w:highlight w:val="none"/>
                <w:lang w:val="en-US" w:eastAsia="zh-CN"/>
              </w:rPr>
              <w:t>14</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仿宋_GB2312"/>
                <w:sz w:val="24"/>
                <w:szCs w:val="21"/>
                <w:highlight w:val="none"/>
                <w:lang w:val="en-US" w:eastAsia="zh-CN"/>
              </w:rPr>
            </w:pPr>
            <w:r>
              <w:rPr>
                <w:rFonts w:hint="eastAsia"/>
                <w:sz w:val="24"/>
                <w:szCs w:val="21"/>
                <w:highlight w:val="none"/>
              </w:rPr>
              <w:t>1</w:t>
            </w:r>
            <w:r>
              <w:rPr>
                <w:rFonts w:hint="eastAsia"/>
                <w:sz w:val="24"/>
                <w:szCs w:val="21"/>
                <w:highlight w:val="none"/>
                <w:lang w:val="en-US" w:eastAsia="zh-CN"/>
              </w:rPr>
              <w:t>22</w:t>
            </w:r>
          </w:p>
        </w:tc>
        <w:tc>
          <w:tcPr>
            <w:tcW w:w="87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仿宋_GB2312"/>
                <w:sz w:val="24"/>
                <w:szCs w:val="21"/>
                <w:highlight w:val="none"/>
                <w:lang w:val="en-US" w:eastAsia="zh-CN"/>
              </w:rPr>
            </w:pPr>
            <w:r>
              <w:rPr>
                <w:rFonts w:hint="eastAsia"/>
                <w:sz w:val="24"/>
                <w:szCs w:val="21"/>
                <w:highlight w:val="none"/>
              </w:rPr>
              <w:t>1</w:t>
            </w:r>
            <w:r>
              <w:rPr>
                <w:rFonts w:hint="eastAsia"/>
                <w:sz w:val="24"/>
                <w:szCs w:val="21"/>
                <w:highlight w:val="none"/>
                <w:lang w:val="en-US" w:eastAsia="zh-CN"/>
              </w:rPr>
              <w:t>30</w:t>
            </w:r>
          </w:p>
        </w:tc>
        <w:tc>
          <w:tcPr>
            <w:tcW w:w="86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仿宋_GB2312"/>
                <w:sz w:val="24"/>
                <w:szCs w:val="21"/>
                <w:highlight w:val="none"/>
                <w:lang w:val="en-US" w:eastAsia="zh-CN"/>
              </w:rPr>
            </w:pPr>
            <w:r>
              <w:rPr>
                <w:rFonts w:hint="eastAsia"/>
                <w:sz w:val="24"/>
                <w:szCs w:val="21"/>
                <w:highlight w:val="none"/>
              </w:rPr>
              <w:t>1</w:t>
            </w:r>
            <w:r>
              <w:rPr>
                <w:rFonts w:hint="eastAsia"/>
                <w:sz w:val="24"/>
                <w:szCs w:val="21"/>
                <w:highlight w:val="none"/>
                <w:lang w:val="en-US" w:eastAsia="zh-CN"/>
              </w:rPr>
              <w:t>30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43"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4"/>
                <w:szCs w:val="21"/>
                <w:highlight w:val="none"/>
              </w:rPr>
            </w:pPr>
          </w:p>
        </w:tc>
        <w:tc>
          <w:tcPr>
            <w:tcW w:w="92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4"/>
                <w:szCs w:val="21"/>
                <w:highlight w:val="none"/>
              </w:rPr>
            </w:pPr>
            <w:r>
              <w:rPr>
                <w:rFonts w:hint="eastAsia"/>
                <w:b/>
                <w:sz w:val="24"/>
                <w:szCs w:val="21"/>
                <w:highlight w:val="none"/>
              </w:rPr>
              <w:t>新增</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仿宋_GB2312"/>
                <w:sz w:val="24"/>
                <w:szCs w:val="21"/>
                <w:highlight w:val="none"/>
                <w:lang w:eastAsia="zh-CN"/>
              </w:rPr>
            </w:pPr>
            <w:r>
              <w:rPr>
                <w:rFonts w:hint="eastAsia"/>
                <w:sz w:val="24"/>
                <w:szCs w:val="21"/>
                <w:highlight w:val="none"/>
                <w:lang w:val="en-US" w:eastAsia="zh-CN"/>
              </w:rPr>
              <w:t>8</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仿宋_GB2312"/>
                <w:sz w:val="24"/>
                <w:szCs w:val="21"/>
                <w:highlight w:val="none"/>
                <w:lang w:eastAsia="zh-CN"/>
              </w:rPr>
            </w:pPr>
            <w:r>
              <w:rPr>
                <w:rFonts w:hint="eastAsia"/>
                <w:sz w:val="24"/>
                <w:szCs w:val="21"/>
                <w:highlight w:val="none"/>
                <w:lang w:val="en-US" w:eastAsia="zh-CN"/>
              </w:rPr>
              <w:t>8</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仿宋_GB2312"/>
                <w:sz w:val="24"/>
                <w:szCs w:val="21"/>
                <w:highlight w:val="none"/>
                <w:lang w:eastAsia="zh-CN"/>
              </w:rPr>
            </w:pPr>
            <w:r>
              <w:rPr>
                <w:rFonts w:hint="eastAsia"/>
                <w:sz w:val="24"/>
                <w:szCs w:val="21"/>
                <w:highlight w:val="none"/>
                <w:lang w:val="en-US" w:eastAsia="zh-CN"/>
              </w:rPr>
              <w:t>8</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仿宋_GB2312"/>
                <w:sz w:val="24"/>
                <w:szCs w:val="21"/>
                <w:highlight w:val="none"/>
                <w:lang w:eastAsia="zh-CN"/>
              </w:rPr>
            </w:pPr>
            <w:r>
              <w:rPr>
                <w:rFonts w:hint="eastAsia"/>
                <w:sz w:val="24"/>
                <w:szCs w:val="21"/>
                <w:highlight w:val="none"/>
                <w:lang w:val="en-US" w:eastAsia="zh-CN"/>
              </w:rPr>
              <w:t>8</w:t>
            </w:r>
          </w:p>
        </w:tc>
        <w:tc>
          <w:tcPr>
            <w:tcW w:w="870"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eastAsia="仿宋_GB2312"/>
                <w:sz w:val="24"/>
                <w:szCs w:val="21"/>
                <w:highlight w:val="none"/>
                <w:lang w:eastAsia="zh-CN"/>
              </w:rPr>
            </w:pPr>
            <w:r>
              <w:rPr>
                <w:rFonts w:hint="eastAsia"/>
                <w:sz w:val="24"/>
                <w:szCs w:val="21"/>
                <w:highlight w:val="none"/>
                <w:lang w:val="en-US" w:eastAsia="zh-CN"/>
              </w:rPr>
              <w:t>8</w:t>
            </w:r>
          </w:p>
        </w:tc>
        <w:tc>
          <w:tcPr>
            <w:tcW w:w="86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仿宋_GB2312"/>
                <w:sz w:val="24"/>
                <w:szCs w:val="21"/>
                <w:highlight w:val="none"/>
                <w:lang w:val="en-US" w:eastAsia="zh-CN"/>
              </w:rPr>
            </w:pPr>
            <w:r>
              <w:rPr>
                <w:rFonts w:hint="eastAsia"/>
                <w:sz w:val="24"/>
                <w:szCs w:val="21"/>
                <w:highlight w:val="none"/>
                <w:lang w:val="en-US" w:eastAsia="zh-CN"/>
              </w:rPr>
              <w:t>40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43"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4"/>
                <w:szCs w:val="21"/>
                <w:highlight w:val="none"/>
              </w:rPr>
            </w:pPr>
            <w:r>
              <w:rPr>
                <w:rFonts w:hint="eastAsia"/>
                <w:b/>
                <w:sz w:val="24"/>
                <w:szCs w:val="21"/>
                <w:highlight w:val="none"/>
              </w:rPr>
              <w:t>自用充换电桩（个）</w:t>
            </w:r>
          </w:p>
        </w:tc>
        <w:tc>
          <w:tcPr>
            <w:tcW w:w="92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4"/>
                <w:szCs w:val="21"/>
                <w:highlight w:val="none"/>
              </w:rPr>
            </w:pPr>
            <w:r>
              <w:rPr>
                <w:rFonts w:hint="eastAsia"/>
                <w:b/>
                <w:sz w:val="24"/>
                <w:szCs w:val="21"/>
                <w:highlight w:val="none"/>
              </w:rPr>
              <w:t>目标</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4"/>
                <w:szCs w:val="21"/>
                <w:highlight w:val="none"/>
              </w:rPr>
            </w:pPr>
            <w:r>
              <w:rPr>
                <w:rFonts w:hint="eastAsia"/>
                <w:sz w:val="24"/>
                <w:szCs w:val="21"/>
                <w:highlight w:val="none"/>
              </w:rPr>
              <w:t>2938</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4"/>
                <w:szCs w:val="21"/>
                <w:highlight w:val="none"/>
              </w:rPr>
            </w:pPr>
            <w:r>
              <w:rPr>
                <w:rFonts w:hint="eastAsia"/>
                <w:sz w:val="24"/>
                <w:szCs w:val="21"/>
                <w:highlight w:val="none"/>
              </w:rPr>
              <w:t>4938</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4"/>
                <w:szCs w:val="21"/>
                <w:highlight w:val="none"/>
              </w:rPr>
            </w:pPr>
            <w:r>
              <w:rPr>
                <w:rFonts w:hint="eastAsia"/>
                <w:sz w:val="24"/>
                <w:szCs w:val="21"/>
                <w:highlight w:val="none"/>
              </w:rPr>
              <w:t>6938</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4"/>
                <w:szCs w:val="21"/>
                <w:highlight w:val="none"/>
              </w:rPr>
            </w:pPr>
            <w:r>
              <w:rPr>
                <w:rFonts w:hint="eastAsia"/>
                <w:sz w:val="24"/>
                <w:szCs w:val="21"/>
                <w:highlight w:val="none"/>
              </w:rPr>
              <w:t>8538</w:t>
            </w:r>
          </w:p>
        </w:tc>
        <w:tc>
          <w:tcPr>
            <w:tcW w:w="87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4"/>
                <w:szCs w:val="21"/>
                <w:highlight w:val="none"/>
              </w:rPr>
            </w:pPr>
            <w:r>
              <w:rPr>
                <w:rFonts w:hint="eastAsia"/>
                <w:sz w:val="24"/>
                <w:szCs w:val="21"/>
                <w:highlight w:val="none"/>
              </w:rPr>
              <w:t>10000</w:t>
            </w:r>
          </w:p>
        </w:tc>
        <w:tc>
          <w:tcPr>
            <w:tcW w:w="86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4"/>
                <w:szCs w:val="21"/>
                <w:highlight w:val="none"/>
              </w:rPr>
            </w:pPr>
            <w:r>
              <w:rPr>
                <w:rFonts w:hint="eastAsia"/>
                <w:sz w:val="24"/>
                <w:szCs w:val="21"/>
                <w:highlight w:val="none"/>
              </w:rPr>
              <w:t>10000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43"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4"/>
                <w:szCs w:val="21"/>
                <w:highlight w:val="none"/>
              </w:rPr>
            </w:pPr>
          </w:p>
        </w:tc>
        <w:tc>
          <w:tcPr>
            <w:tcW w:w="92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4"/>
                <w:szCs w:val="21"/>
                <w:highlight w:val="none"/>
              </w:rPr>
            </w:pPr>
            <w:r>
              <w:rPr>
                <w:rFonts w:hint="eastAsia"/>
                <w:b/>
                <w:sz w:val="24"/>
                <w:szCs w:val="21"/>
                <w:highlight w:val="none"/>
              </w:rPr>
              <w:t>新增</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4"/>
                <w:szCs w:val="21"/>
                <w:highlight w:val="none"/>
              </w:rPr>
            </w:pPr>
            <w:r>
              <w:rPr>
                <w:rFonts w:hint="eastAsia"/>
                <w:sz w:val="24"/>
                <w:szCs w:val="21"/>
                <w:highlight w:val="none"/>
              </w:rPr>
              <w:t>2000</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4"/>
                <w:szCs w:val="21"/>
                <w:highlight w:val="none"/>
              </w:rPr>
            </w:pPr>
            <w:r>
              <w:rPr>
                <w:rFonts w:hint="eastAsia"/>
                <w:sz w:val="24"/>
                <w:szCs w:val="21"/>
                <w:highlight w:val="none"/>
              </w:rPr>
              <w:t>2000</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4"/>
                <w:szCs w:val="21"/>
                <w:highlight w:val="none"/>
              </w:rPr>
            </w:pPr>
            <w:r>
              <w:rPr>
                <w:rFonts w:hint="eastAsia"/>
                <w:sz w:val="24"/>
                <w:szCs w:val="21"/>
                <w:highlight w:val="none"/>
              </w:rPr>
              <w:t>2000</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4"/>
                <w:szCs w:val="21"/>
                <w:highlight w:val="none"/>
              </w:rPr>
            </w:pPr>
            <w:r>
              <w:rPr>
                <w:rFonts w:hint="eastAsia"/>
                <w:sz w:val="24"/>
                <w:szCs w:val="21"/>
                <w:highlight w:val="none"/>
              </w:rPr>
              <w:t>1600</w:t>
            </w:r>
          </w:p>
        </w:tc>
        <w:tc>
          <w:tcPr>
            <w:tcW w:w="87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4"/>
                <w:szCs w:val="21"/>
                <w:highlight w:val="none"/>
              </w:rPr>
            </w:pPr>
            <w:r>
              <w:rPr>
                <w:rFonts w:hint="eastAsia"/>
                <w:sz w:val="24"/>
                <w:szCs w:val="21"/>
                <w:highlight w:val="none"/>
              </w:rPr>
              <w:t>1462</w:t>
            </w:r>
          </w:p>
        </w:tc>
        <w:tc>
          <w:tcPr>
            <w:tcW w:w="86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4"/>
                <w:szCs w:val="21"/>
                <w:highlight w:val="none"/>
              </w:rPr>
            </w:pPr>
            <w:r>
              <w:rPr>
                <w:rFonts w:hint="eastAsia"/>
                <w:sz w:val="24"/>
                <w:szCs w:val="21"/>
                <w:highlight w:val="none"/>
              </w:rPr>
              <w:t>9062</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43"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4"/>
                <w:szCs w:val="21"/>
                <w:highlight w:val="none"/>
              </w:rPr>
            </w:pPr>
            <w:r>
              <w:rPr>
                <w:rFonts w:hint="eastAsia"/>
                <w:b/>
                <w:sz w:val="24"/>
                <w:szCs w:val="21"/>
                <w:highlight w:val="none"/>
              </w:rPr>
              <w:t>公共领域充换电桩（个）</w:t>
            </w:r>
          </w:p>
        </w:tc>
        <w:tc>
          <w:tcPr>
            <w:tcW w:w="92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4"/>
                <w:szCs w:val="21"/>
                <w:highlight w:val="none"/>
              </w:rPr>
            </w:pPr>
            <w:r>
              <w:rPr>
                <w:rFonts w:hint="eastAsia"/>
                <w:b/>
                <w:sz w:val="24"/>
                <w:szCs w:val="21"/>
                <w:highlight w:val="none"/>
              </w:rPr>
              <w:t>目标</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4"/>
                <w:szCs w:val="21"/>
                <w:highlight w:val="none"/>
              </w:rPr>
            </w:pPr>
            <w:r>
              <w:rPr>
                <w:rFonts w:hint="eastAsia"/>
                <w:sz w:val="24"/>
                <w:szCs w:val="21"/>
                <w:highlight w:val="none"/>
              </w:rPr>
              <w:t>1608</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仿宋_GB2312"/>
                <w:sz w:val="24"/>
                <w:szCs w:val="21"/>
                <w:highlight w:val="none"/>
                <w:lang w:val="en-US" w:eastAsia="zh-CN"/>
              </w:rPr>
            </w:pPr>
            <w:r>
              <w:rPr>
                <w:rFonts w:hint="eastAsia"/>
                <w:sz w:val="24"/>
                <w:szCs w:val="21"/>
                <w:highlight w:val="none"/>
              </w:rPr>
              <w:t>1</w:t>
            </w:r>
            <w:r>
              <w:rPr>
                <w:rFonts w:hint="eastAsia"/>
                <w:sz w:val="24"/>
                <w:szCs w:val="21"/>
                <w:highlight w:val="none"/>
                <w:lang w:val="en-US" w:eastAsia="zh-CN"/>
              </w:rPr>
              <w:t>958</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仿宋_GB2312"/>
                <w:sz w:val="24"/>
                <w:szCs w:val="21"/>
                <w:highlight w:val="none"/>
                <w:lang w:val="en-US" w:eastAsia="zh-CN"/>
              </w:rPr>
            </w:pPr>
            <w:r>
              <w:rPr>
                <w:rFonts w:hint="eastAsia"/>
                <w:sz w:val="24"/>
                <w:szCs w:val="21"/>
                <w:highlight w:val="none"/>
                <w:lang w:val="en-US" w:eastAsia="zh-CN"/>
              </w:rPr>
              <w:t>2308</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仿宋_GB2312"/>
                <w:sz w:val="24"/>
                <w:szCs w:val="21"/>
                <w:highlight w:val="none"/>
                <w:lang w:val="en-US" w:eastAsia="zh-CN"/>
              </w:rPr>
            </w:pPr>
            <w:r>
              <w:rPr>
                <w:rFonts w:hint="eastAsia"/>
                <w:sz w:val="24"/>
                <w:szCs w:val="21"/>
                <w:highlight w:val="none"/>
                <w:lang w:val="en-US" w:eastAsia="zh-CN"/>
              </w:rPr>
              <w:t>2658</w:t>
            </w:r>
          </w:p>
        </w:tc>
        <w:tc>
          <w:tcPr>
            <w:tcW w:w="87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仿宋_GB2312"/>
                <w:sz w:val="24"/>
                <w:szCs w:val="21"/>
                <w:highlight w:val="none"/>
                <w:lang w:val="en-US" w:eastAsia="zh-CN"/>
              </w:rPr>
            </w:pPr>
            <w:r>
              <w:rPr>
                <w:rFonts w:hint="eastAsia"/>
                <w:sz w:val="24"/>
                <w:szCs w:val="21"/>
                <w:highlight w:val="none"/>
                <w:lang w:val="en-US" w:eastAsia="zh-CN"/>
              </w:rPr>
              <w:t>3000</w:t>
            </w:r>
          </w:p>
        </w:tc>
        <w:tc>
          <w:tcPr>
            <w:tcW w:w="86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仿宋_GB2312"/>
                <w:sz w:val="24"/>
                <w:szCs w:val="21"/>
                <w:highlight w:val="none"/>
                <w:lang w:val="en-US" w:eastAsia="zh-CN"/>
              </w:rPr>
            </w:pPr>
            <w:r>
              <w:rPr>
                <w:rFonts w:hint="eastAsia"/>
                <w:sz w:val="24"/>
                <w:szCs w:val="21"/>
                <w:highlight w:val="none"/>
                <w:lang w:val="en-US" w:eastAsia="zh-CN"/>
              </w:rPr>
              <w:t>3000</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jc w:val="center"/>
        </w:trPr>
        <w:tc>
          <w:tcPr>
            <w:tcW w:w="2243"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4"/>
                <w:szCs w:val="21"/>
                <w:highlight w:val="none"/>
              </w:rPr>
            </w:pPr>
          </w:p>
        </w:tc>
        <w:tc>
          <w:tcPr>
            <w:tcW w:w="922"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b/>
                <w:sz w:val="24"/>
                <w:szCs w:val="21"/>
                <w:highlight w:val="none"/>
              </w:rPr>
            </w:pPr>
            <w:r>
              <w:rPr>
                <w:rFonts w:hint="eastAsia"/>
                <w:b/>
                <w:sz w:val="24"/>
                <w:szCs w:val="21"/>
                <w:highlight w:val="none"/>
              </w:rPr>
              <w:t>新增</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仿宋_GB2312"/>
                <w:sz w:val="24"/>
                <w:szCs w:val="21"/>
                <w:highlight w:val="none"/>
                <w:lang w:val="en-US" w:eastAsia="zh-CN"/>
              </w:rPr>
            </w:pPr>
            <w:r>
              <w:rPr>
                <w:rFonts w:hint="eastAsia"/>
                <w:sz w:val="24"/>
                <w:szCs w:val="21"/>
                <w:highlight w:val="none"/>
                <w:lang w:val="en-US" w:eastAsia="zh-CN"/>
              </w:rPr>
              <w:t>300</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仿宋_GB2312"/>
                <w:sz w:val="24"/>
                <w:szCs w:val="21"/>
                <w:highlight w:val="none"/>
                <w:lang w:val="en-US" w:eastAsia="zh-CN"/>
              </w:rPr>
            </w:pPr>
            <w:r>
              <w:rPr>
                <w:rFonts w:hint="eastAsia"/>
                <w:sz w:val="24"/>
                <w:szCs w:val="21"/>
                <w:highlight w:val="none"/>
                <w:lang w:val="en-US" w:eastAsia="zh-CN"/>
              </w:rPr>
              <w:t>350</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仿宋_GB2312"/>
                <w:sz w:val="24"/>
                <w:szCs w:val="21"/>
                <w:highlight w:val="none"/>
                <w:lang w:val="en-US" w:eastAsia="zh-CN"/>
              </w:rPr>
            </w:pPr>
            <w:r>
              <w:rPr>
                <w:rFonts w:hint="eastAsia"/>
                <w:sz w:val="24"/>
                <w:szCs w:val="21"/>
                <w:highlight w:val="none"/>
                <w:lang w:val="en-US" w:eastAsia="zh-CN"/>
              </w:rPr>
              <w:t>350</w:t>
            </w:r>
          </w:p>
        </w:tc>
        <w:tc>
          <w:tcPr>
            <w:tcW w:w="933"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仿宋_GB2312"/>
                <w:sz w:val="24"/>
                <w:szCs w:val="21"/>
                <w:highlight w:val="none"/>
                <w:lang w:val="en-US" w:eastAsia="zh-CN"/>
              </w:rPr>
            </w:pPr>
            <w:r>
              <w:rPr>
                <w:rFonts w:hint="eastAsia"/>
                <w:sz w:val="24"/>
                <w:szCs w:val="21"/>
                <w:highlight w:val="none"/>
                <w:lang w:val="en-US" w:eastAsia="zh-CN"/>
              </w:rPr>
              <w:t>350</w:t>
            </w:r>
          </w:p>
        </w:tc>
        <w:tc>
          <w:tcPr>
            <w:tcW w:w="870"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eastAsia="仿宋_GB2312"/>
                <w:sz w:val="24"/>
                <w:szCs w:val="21"/>
                <w:highlight w:val="none"/>
                <w:lang w:val="en-US" w:eastAsia="zh-CN"/>
              </w:rPr>
            </w:pPr>
            <w:r>
              <w:rPr>
                <w:rFonts w:hint="eastAsia"/>
                <w:sz w:val="24"/>
                <w:szCs w:val="21"/>
                <w:highlight w:val="none"/>
                <w:lang w:val="en-US" w:eastAsia="zh-CN"/>
              </w:rPr>
              <w:t>342</w:t>
            </w:r>
          </w:p>
        </w:tc>
        <w:tc>
          <w:tcPr>
            <w:tcW w:w="864" w:type="dxa"/>
            <w:vAlign w:val="center"/>
          </w:tcPr>
          <w:p>
            <w:pPr>
              <w:keepNext w:val="0"/>
              <w:keepLines w:val="0"/>
              <w:suppressLineNumbers w:val="0"/>
              <w:spacing w:before="0" w:beforeAutospacing="0" w:after="0" w:afterAutospacing="0" w:line="240" w:lineRule="auto"/>
              <w:ind w:left="0" w:right="0" w:firstLine="0" w:firstLineChars="0"/>
              <w:jc w:val="center"/>
              <w:rPr>
                <w:rFonts w:hint="default"/>
                <w:sz w:val="24"/>
                <w:szCs w:val="21"/>
                <w:highlight w:val="none"/>
              </w:rPr>
            </w:pPr>
            <w:r>
              <w:rPr>
                <w:rFonts w:hint="eastAsia"/>
                <w:sz w:val="24"/>
                <w:szCs w:val="21"/>
                <w:highlight w:val="none"/>
                <w:lang w:val="en-US" w:eastAsia="zh-CN"/>
              </w:rPr>
              <w:t>1</w:t>
            </w:r>
            <w:r>
              <w:rPr>
                <w:rFonts w:hint="eastAsia"/>
                <w:sz w:val="24"/>
                <w:szCs w:val="21"/>
                <w:highlight w:val="none"/>
              </w:rPr>
              <w:t>692</w:t>
            </w:r>
          </w:p>
        </w:tc>
      </w:tr>
    </w:tbl>
    <w:p>
      <w:pPr>
        <w:spacing w:line="300" w:lineRule="exact"/>
        <w:ind w:firstLine="0" w:firstLineChars="0"/>
        <w:rPr>
          <w:rFonts w:eastAsia="仿宋"/>
          <w:color w:val="000000"/>
          <w:sz w:val="22"/>
          <w:highlight w:val="none"/>
        </w:rPr>
      </w:pPr>
      <w:bookmarkStart w:id="84" w:name="_Toc66354676"/>
      <w:bookmarkStart w:id="85" w:name="_Toc4232"/>
      <w:r>
        <w:rPr>
          <w:rFonts w:hint="eastAsia" w:eastAsia="仿宋"/>
          <w:color w:val="000000"/>
          <w:sz w:val="22"/>
          <w:highlight w:val="none"/>
          <w:lang w:eastAsia="zh-CN"/>
        </w:rPr>
        <w:t>备注：</w:t>
      </w:r>
      <w:r>
        <w:rPr>
          <w:rFonts w:hint="eastAsia" w:eastAsia="仿宋"/>
          <w:color w:val="000000"/>
          <w:sz w:val="22"/>
          <w:highlight w:val="none"/>
        </w:rPr>
        <w:t>1</w:t>
      </w:r>
      <w:r>
        <w:rPr>
          <w:rFonts w:eastAsia="仿宋"/>
          <w:color w:val="000000"/>
          <w:sz w:val="22"/>
          <w:highlight w:val="none"/>
        </w:rPr>
        <w:t>.</w:t>
      </w:r>
      <w:r>
        <w:rPr>
          <w:rFonts w:hAnsi="仿宋" w:eastAsia="仿宋"/>
          <w:color w:val="000000"/>
          <w:sz w:val="22"/>
          <w:highlight w:val="none"/>
        </w:rPr>
        <w:t>公共领域充换电设施：指为特定公共服务领域专用电动汽车提供充换电服务以及为非特定电动汽车提供充电服务的经营性充电设施。具体包含公交、环卫、重卡、机场、物流</w:t>
      </w:r>
      <w:r>
        <w:rPr>
          <w:rFonts w:hint="eastAsia" w:hAnsi="仿宋" w:eastAsia="仿宋"/>
          <w:color w:val="000000"/>
          <w:sz w:val="22"/>
          <w:highlight w:val="none"/>
          <w:lang w:eastAsia="zh-CN"/>
        </w:rPr>
        <w:t>配送</w:t>
      </w:r>
      <w:r>
        <w:rPr>
          <w:rFonts w:hAnsi="仿宋" w:eastAsia="仿宋"/>
          <w:color w:val="000000"/>
          <w:sz w:val="22"/>
          <w:highlight w:val="none"/>
        </w:rPr>
        <w:t>、港口、租赁、警务等以及出租车、网约车、个人私家车等。</w:t>
      </w:r>
    </w:p>
    <w:p>
      <w:pPr>
        <w:spacing w:line="300" w:lineRule="exact"/>
        <w:ind w:firstLine="0" w:firstLineChars="0"/>
        <w:rPr>
          <w:rFonts w:eastAsia="仿宋"/>
          <w:color w:val="000000"/>
          <w:sz w:val="22"/>
          <w:highlight w:val="none"/>
        </w:rPr>
      </w:pPr>
      <w:r>
        <w:rPr>
          <w:rFonts w:hint="eastAsia" w:eastAsia="仿宋"/>
          <w:color w:val="000000"/>
          <w:sz w:val="22"/>
          <w:highlight w:val="none"/>
        </w:rPr>
        <w:t>2</w:t>
      </w:r>
      <w:r>
        <w:rPr>
          <w:rFonts w:eastAsia="仿宋"/>
          <w:color w:val="000000"/>
          <w:sz w:val="22"/>
          <w:highlight w:val="none"/>
        </w:rPr>
        <w:t>.</w:t>
      </w:r>
      <w:r>
        <w:rPr>
          <w:rFonts w:hAnsi="仿宋" w:eastAsia="仿宋"/>
          <w:color w:val="000000"/>
          <w:sz w:val="22"/>
          <w:highlight w:val="none"/>
        </w:rPr>
        <w:t>自用充电设施，一般为住宅小区内住户自备电动汽车提供充电服务的充电设施。自用充电设施一般为随车配送，不作为考核指标。</w:t>
      </w:r>
    </w:p>
    <w:p>
      <w:pPr>
        <w:spacing w:line="300" w:lineRule="exact"/>
        <w:ind w:firstLine="0" w:firstLineChars="0"/>
        <w:rPr>
          <w:rFonts w:eastAsia="仿宋"/>
          <w:color w:val="000000"/>
          <w:sz w:val="22"/>
          <w:highlight w:val="none"/>
        </w:rPr>
      </w:pPr>
      <w:r>
        <w:rPr>
          <w:rFonts w:hint="eastAsia" w:eastAsia="仿宋"/>
          <w:color w:val="000000"/>
          <w:sz w:val="22"/>
          <w:highlight w:val="none"/>
        </w:rPr>
        <w:t>3</w:t>
      </w:r>
      <w:r>
        <w:rPr>
          <w:rFonts w:eastAsia="仿宋"/>
          <w:color w:val="000000"/>
          <w:sz w:val="22"/>
          <w:highlight w:val="none"/>
        </w:rPr>
        <w:t>.</w:t>
      </w:r>
      <w:r>
        <w:rPr>
          <w:rFonts w:hAnsi="仿宋" w:eastAsia="仿宋"/>
          <w:color w:val="000000"/>
          <w:sz w:val="22"/>
          <w:highlight w:val="none"/>
        </w:rPr>
        <w:t>智能充电桩：具备通信、控制等功能，能够接受一定调度（指令）实现智能有序充电、分时共享以及参与电力需求侧响应等功能。</w:t>
      </w:r>
    </w:p>
    <w:p>
      <w:pPr>
        <w:spacing w:line="300" w:lineRule="exact"/>
        <w:ind w:firstLine="0" w:firstLineChars="0"/>
        <w:rPr>
          <w:rFonts w:hAnsi="仿宋" w:eastAsia="仿宋"/>
          <w:color w:val="000000"/>
          <w:sz w:val="22"/>
          <w:highlight w:val="none"/>
        </w:rPr>
      </w:pPr>
      <w:r>
        <w:rPr>
          <w:rFonts w:hint="eastAsia" w:eastAsia="仿宋"/>
          <w:color w:val="000000"/>
          <w:sz w:val="22"/>
          <w:highlight w:val="none"/>
        </w:rPr>
        <w:t>4</w:t>
      </w:r>
      <w:r>
        <w:rPr>
          <w:rFonts w:eastAsia="仿宋"/>
          <w:color w:val="000000"/>
          <w:sz w:val="22"/>
          <w:highlight w:val="none"/>
        </w:rPr>
        <w:t>.“</w:t>
      </w:r>
      <w:r>
        <w:rPr>
          <w:rFonts w:hAnsi="仿宋" w:eastAsia="仿宋"/>
          <w:color w:val="000000"/>
          <w:sz w:val="22"/>
          <w:highlight w:val="none"/>
        </w:rPr>
        <w:t>十四五</w:t>
      </w:r>
      <w:r>
        <w:rPr>
          <w:rFonts w:eastAsia="仿宋"/>
          <w:color w:val="000000"/>
          <w:sz w:val="22"/>
          <w:highlight w:val="none"/>
        </w:rPr>
        <w:t>”</w:t>
      </w:r>
      <w:r>
        <w:rPr>
          <w:rFonts w:hAnsi="仿宋" w:eastAsia="仿宋"/>
          <w:color w:val="000000"/>
          <w:sz w:val="22"/>
          <w:highlight w:val="none"/>
        </w:rPr>
        <w:t>期间，新增公共领域充电桩应全部为智能充电桩，同时，现有公用充电桩智能化改造比例不低于</w:t>
      </w:r>
      <w:r>
        <w:rPr>
          <w:rFonts w:eastAsia="仿宋"/>
          <w:color w:val="000000"/>
          <w:sz w:val="22"/>
          <w:highlight w:val="none"/>
        </w:rPr>
        <w:t>25%</w:t>
      </w:r>
      <w:r>
        <w:rPr>
          <w:rFonts w:hAnsi="仿宋" w:eastAsia="仿宋"/>
          <w:color w:val="000000"/>
          <w:sz w:val="22"/>
          <w:highlight w:val="none"/>
        </w:rPr>
        <w:t>。到</w:t>
      </w:r>
      <w:r>
        <w:rPr>
          <w:rFonts w:eastAsia="仿宋"/>
          <w:color w:val="000000"/>
          <w:sz w:val="22"/>
          <w:highlight w:val="none"/>
        </w:rPr>
        <w:t>2025</w:t>
      </w:r>
      <w:r>
        <w:rPr>
          <w:rFonts w:hAnsi="仿宋" w:eastAsia="仿宋"/>
          <w:color w:val="000000"/>
          <w:sz w:val="22"/>
          <w:highlight w:val="none"/>
        </w:rPr>
        <w:t>年，智能公用充电桩不低于</w:t>
      </w:r>
      <w:r>
        <w:rPr>
          <w:rFonts w:hint="eastAsia" w:eastAsia="仿宋"/>
          <w:color w:val="000000"/>
          <w:sz w:val="22"/>
          <w:highlight w:val="none"/>
          <w:lang w:val="en-US" w:eastAsia="zh-CN"/>
        </w:rPr>
        <w:t>2000</w:t>
      </w:r>
      <w:r>
        <w:rPr>
          <w:rFonts w:hAnsi="仿宋" w:eastAsia="仿宋"/>
          <w:color w:val="000000"/>
          <w:sz w:val="22"/>
          <w:highlight w:val="none"/>
        </w:rPr>
        <w:t>个。</w:t>
      </w:r>
    </w:p>
    <w:p>
      <w:pPr>
        <w:pStyle w:val="4"/>
        <w:ind w:firstLine="643"/>
        <w:rPr>
          <w:rFonts w:ascii="Times New Roman" w:hAnsi="Times New Roman"/>
          <w:highlight w:val="none"/>
        </w:rPr>
      </w:pPr>
      <w:bookmarkStart w:id="86" w:name="_Toc17529"/>
      <w:r>
        <w:rPr>
          <w:rFonts w:hint="eastAsia" w:ascii="Times New Roman" w:hAnsi="Times New Roman"/>
          <w:highlight w:val="none"/>
        </w:rPr>
        <w:t>（三）分区域发展目标</w:t>
      </w:r>
      <w:bookmarkEnd w:id="86"/>
    </w:p>
    <w:p>
      <w:pPr>
        <w:pStyle w:val="2"/>
        <w:ind w:firstLine="640"/>
        <w:rPr>
          <w:highlight w:val="none"/>
        </w:rPr>
      </w:pPr>
      <w:r>
        <w:rPr>
          <w:rFonts w:hint="eastAsia"/>
          <w:highlight w:val="none"/>
          <w:lang w:val="en-US" w:eastAsia="zh-CN"/>
        </w:rPr>
        <w:t>按照</w:t>
      </w:r>
      <w:r>
        <w:rPr>
          <w:rFonts w:hint="eastAsia"/>
          <w:highlight w:val="none"/>
        </w:rPr>
        <w:t>义乌市域构建“一体、两翼、三片”的</w:t>
      </w:r>
      <w:r>
        <w:rPr>
          <w:rFonts w:hint="eastAsia"/>
          <w:highlight w:val="none"/>
          <w:lang w:eastAsia="zh-CN"/>
        </w:rPr>
        <w:t>市域</w:t>
      </w:r>
      <w:r>
        <w:rPr>
          <w:rFonts w:hint="eastAsia"/>
          <w:highlight w:val="none"/>
        </w:rPr>
        <w:t>空间</w:t>
      </w:r>
      <w:r>
        <w:rPr>
          <w:rFonts w:hint="eastAsia"/>
          <w:highlight w:val="none"/>
          <w:lang w:eastAsia="zh-CN"/>
        </w:rPr>
        <w:t>布局，继续优化充电基础设施建设布局，综合考虑</w:t>
      </w:r>
      <w:r>
        <w:rPr>
          <w:rFonts w:hint="eastAsia"/>
          <w:highlight w:val="none"/>
        </w:rPr>
        <w:t>各镇街的经济社会发展状况、电动汽车推广应用</w:t>
      </w:r>
      <w:r>
        <w:rPr>
          <w:rFonts w:hint="eastAsia"/>
          <w:highlight w:val="none"/>
          <w:lang w:eastAsia="zh-CN"/>
        </w:rPr>
        <w:t>和充电基础设施建设进展</w:t>
      </w:r>
      <w:r>
        <w:rPr>
          <w:rFonts w:hint="eastAsia"/>
          <w:highlight w:val="none"/>
        </w:rPr>
        <w:t>等因素，将义乌市划分为</w:t>
      </w:r>
      <w:r>
        <w:rPr>
          <w:rFonts w:hint="eastAsia"/>
          <w:highlight w:val="none"/>
          <w:lang w:eastAsia="zh-CN"/>
        </w:rPr>
        <w:t>核心发展</w:t>
      </w:r>
      <w:r>
        <w:rPr>
          <w:rFonts w:hint="eastAsia"/>
          <w:highlight w:val="none"/>
        </w:rPr>
        <w:t>、</w:t>
      </w:r>
      <w:r>
        <w:rPr>
          <w:rFonts w:hint="eastAsia"/>
          <w:highlight w:val="none"/>
          <w:lang w:eastAsia="zh-CN"/>
        </w:rPr>
        <w:t>加快</w:t>
      </w:r>
      <w:r>
        <w:rPr>
          <w:rFonts w:hint="eastAsia"/>
          <w:highlight w:val="none"/>
        </w:rPr>
        <w:t>发展和积极</w:t>
      </w:r>
      <w:r>
        <w:rPr>
          <w:rFonts w:hint="eastAsia"/>
          <w:highlight w:val="none"/>
          <w:lang w:eastAsia="zh-CN"/>
        </w:rPr>
        <w:t>推动</w:t>
      </w:r>
      <w:r>
        <w:rPr>
          <w:rFonts w:hint="eastAsia"/>
          <w:highlight w:val="none"/>
        </w:rPr>
        <w:t>三类地区。</w:t>
      </w:r>
    </w:p>
    <w:p>
      <w:pPr>
        <w:ind w:firstLine="643"/>
        <w:rPr>
          <w:highlight w:val="none"/>
        </w:rPr>
      </w:pPr>
      <w:r>
        <w:rPr>
          <w:rFonts w:hint="eastAsia"/>
          <w:b/>
          <w:bCs/>
          <w:highlight w:val="none"/>
        </w:rPr>
        <w:t>1.</w:t>
      </w:r>
      <w:r>
        <w:rPr>
          <w:rFonts w:hint="eastAsia"/>
          <w:b/>
          <w:bCs/>
          <w:highlight w:val="none"/>
          <w:lang w:eastAsia="zh-CN"/>
        </w:rPr>
        <w:t>核心</w:t>
      </w:r>
      <w:r>
        <w:rPr>
          <w:rFonts w:hint="eastAsia"/>
          <w:b/>
          <w:bCs/>
          <w:highlight w:val="none"/>
        </w:rPr>
        <w:t>发展区。</w:t>
      </w:r>
      <w:r>
        <w:rPr>
          <w:rFonts w:hint="eastAsia"/>
          <w:highlight w:val="none"/>
        </w:rPr>
        <w:t>稠城街道、福田街道和北苑街道作为义乌市核心功能区主体包括城市生活服务功能、国际商贸商务功能、陆港物流功能和科教创新功能，相对经济社会发展基础较快，电动汽车运营经验较为丰富，应实现充电基础设施的率先发展。结合街道整体空间布局情况，充分利用可建充电设施场地资源，进一步缩小公共充电服务半径。到2025年，公共充电服务半径为0.8公里左右。</w:t>
      </w:r>
    </w:p>
    <w:p>
      <w:pPr>
        <w:ind w:firstLine="643"/>
        <w:rPr>
          <w:highlight w:val="none"/>
        </w:rPr>
      </w:pPr>
      <w:r>
        <w:rPr>
          <w:rFonts w:hint="eastAsia"/>
          <w:b/>
          <w:bCs/>
          <w:highlight w:val="none"/>
        </w:rPr>
        <w:t>2.</w:t>
      </w:r>
      <w:r>
        <w:rPr>
          <w:rFonts w:hint="eastAsia"/>
          <w:b/>
          <w:bCs/>
          <w:highlight w:val="none"/>
          <w:lang w:eastAsia="zh-CN"/>
        </w:rPr>
        <w:t>加快</w:t>
      </w:r>
      <w:r>
        <w:rPr>
          <w:rFonts w:hint="eastAsia"/>
          <w:b/>
          <w:bCs/>
          <w:highlight w:val="none"/>
        </w:rPr>
        <w:t>发展区。</w:t>
      </w:r>
      <w:r>
        <w:rPr>
          <w:rFonts w:hint="eastAsia"/>
          <w:highlight w:val="none"/>
        </w:rPr>
        <w:t>稠江街道、江东街道、后宅街道、城西街道和廿三里街道作为义乌居民生活、现代服务业和电子商务发展区，具备一定的电动汽车推广应用基础，经济社会发展基础较好，应加快推进充电基础设施发展。到2025年，公共充电服务半径为1公里左右。</w:t>
      </w:r>
    </w:p>
    <w:p>
      <w:pPr>
        <w:pStyle w:val="2"/>
        <w:ind w:firstLine="643"/>
        <w:rPr>
          <w:highlight w:val="none"/>
        </w:rPr>
      </w:pPr>
      <w:r>
        <w:rPr>
          <w:rFonts w:hint="eastAsia"/>
          <w:b/>
          <w:bCs w:val="0"/>
          <w:highlight w:val="none"/>
        </w:rPr>
        <w:t>3.积极</w:t>
      </w:r>
      <w:r>
        <w:rPr>
          <w:rFonts w:hint="eastAsia"/>
          <w:b/>
          <w:bCs w:val="0"/>
          <w:highlight w:val="none"/>
          <w:lang w:eastAsia="zh-CN"/>
        </w:rPr>
        <w:t>推动</w:t>
      </w:r>
      <w:r>
        <w:rPr>
          <w:rFonts w:hint="eastAsia"/>
          <w:b/>
          <w:bCs w:val="0"/>
          <w:highlight w:val="none"/>
        </w:rPr>
        <w:t>区。</w:t>
      </w:r>
      <w:r>
        <w:rPr>
          <w:rFonts w:hint="eastAsia"/>
          <w:highlight w:val="none"/>
        </w:rPr>
        <w:t>佛堂镇、赤岸镇、义亭镇、上溪镇、苏溪镇和大陈镇作为义乌的经济技术开发区和义北、义西、义南三大生态片区，需全面推广应用电动汽车，并积极发展充电基础设施。到2025年，公共充电服务半径为2公里左右。</w:t>
      </w: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pP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highlight w:val="none"/>
        </w:rPr>
      </w:pPr>
      <w:r>
        <w:drawing>
          <wp:inline distT="0" distB="0" distL="114300" distR="114300">
            <wp:extent cx="4684395" cy="5860415"/>
            <wp:effectExtent l="0" t="0" r="1905" b="698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4"/>
                    <a:srcRect r="11110" b="21348"/>
                    <a:stretch>
                      <a:fillRect/>
                    </a:stretch>
                  </pic:blipFill>
                  <pic:spPr>
                    <a:xfrm>
                      <a:off x="0" y="0"/>
                      <a:ext cx="4684395" cy="5860415"/>
                    </a:xfrm>
                    <a:prstGeom prst="rect">
                      <a:avLst/>
                    </a:prstGeom>
                    <a:noFill/>
                    <a:ln>
                      <a:noFill/>
                    </a:ln>
                  </pic:spPr>
                </pic:pic>
              </a:graphicData>
            </a:graphic>
          </wp:inline>
        </w:drawing>
      </w:r>
    </w:p>
    <w:p>
      <w:pPr>
        <w:ind w:firstLine="0" w:firstLineChars="0"/>
        <w:jc w:val="center"/>
        <w:rPr>
          <w:b/>
          <w:highlight w:val="none"/>
        </w:rPr>
      </w:pPr>
      <w:r>
        <w:rPr>
          <w:rFonts w:hint="eastAsia"/>
          <w:b/>
          <w:highlight w:val="none"/>
        </w:rPr>
        <w:t>图</w:t>
      </w:r>
      <w:r>
        <w:rPr>
          <w:rFonts w:hint="eastAsia" w:cs="Times New Roman"/>
          <w:b/>
          <w:highlight w:val="none"/>
          <w:lang w:val="en-US" w:eastAsia="zh-CN"/>
        </w:rPr>
        <w:t>6</w:t>
      </w:r>
      <w:r>
        <w:rPr>
          <w:rFonts w:hint="eastAsia" w:cs="Times New Roman"/>
          <w:b/>
          <w:highlight w:val="none"/>
        </w:rPr>
        <w:t xml:space="preserve"> </w:t>
      </w:r>
      <w:r>
        <w:rPr>
          <w:rFonts w:hint="eastAsia"/>
          <w:b/>
          <w:highlight w:val="none"/>
        </w:rPr>
        <w:t>“十四五”各镇街公共领域充电桩建设目标</w:t>
      </w:r>
    </w:p>
    <w:p>
      <w:pPr>
        <w:pStyle w:val="2"/>
        <w:spacing w:line="240" w:lineRule="auto"/>
        <w:ind w:firstLine="0" w:firstLineChars="0"/>
        <w:rPr>
          <w:highlight w:val="none"/>
        </w:rPr>
      </w:pP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仿宋_GB2312"/>
          <w:highlight w:val="none"/>
          <w:lang w:eastAsia="zh-CN"/>
        </w:rPr>
      </w:pP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仿宋_GB2312"/>
          <w:highlight w:val="none"/>
          <w:lang w:eastAsia="zh-CN"/>
        </w:rPr>
      </w:pPr>
      <w:r>
        <w:rPr>
          <w:rFonts w:hint="eastAsia" w:eastAsia="仿宋_GB2312"/>
          <w:highlight w:val="none"/>
          <w:lang w:eastAsia="zh-CN"/>
        </w:rPr>
        <w:drawing>
          <wp:inline distT="0" distB="0" distL="114300" distR="114300">
            <wp:extent cx="4819015" cy="5679440"/>
            <wp:effectExtent l="0" t="0" r="635" b="16510"/>
            <wp:docPr id="9" name="图片 9" descr="lQLPDhrUbLJlMB3NDbTNCbGw_NUGG15a4X8BiUd9koAiAA_2481_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lQLPDhrUbLJlMB3NDbTNCbGw_NUGG15a4X8BiUd9koAiAA_2481_3508"/>
                    <pic:cNvPicPr>
                      <a:picLocks noChangeAspect="1"/>
                    </pic:cNvPicPr>
                  </pic:nvPicPr>
                  <pic:blipFill>
                    <a:blip r:embed="rId25"/>
                    <a:srcRect r="8577" b="23790"/>
                    <a:stretch>
                      <a:fillRect/>
                    </a:stretch>
                  </pic:blipFill>
                  <pic:spPr>
                    <a:xfrm>
                      <a:off x="0" y="0"/>
                      <a:ext cx="4819015" cy="5679440"/>
                    </a:xfrm>
                    <a:prstGeom prst="rect">
                      <a:avLst/>
                    </a:prstGeom>
                  </pic:spPr>
                </pic:pic>
              </a:graphicData>
            </a:graphic>
          </wp:inline>
        </w:drawing>
      </w:r>
    </w:p>
    <w:p>
      <w:pPr>
        <w:pStyle w:val="2"/>
        <w:spacing w:line="240" w:lineRule="auto"/>
        <w:ind w:firstLine="0" w:firstLineChars="0"/>
        <w:jc w:val="center"/>
        <w:rPr>
          <w:highlight w:val="none"/>
        </w:rPr>
      </w:pPr>
      <w:r>
        <w:rPr>
          <w:rFonts w:hint="eastAsia"/>
          <w:b/>
          <w:highlight w:val="none"/>
        </w:rPr>
        <w:t>图</w:t>
      </w:r>
      <w:r>
        <w:rPr>
          <w:rFonts w:hint="eastAsia"/>
          <w:b/>
          <w:highlight w:val="none"/>
          <w:lang w:val="en-US" w:eastAsia="zh-CN"/>
        </w:rPr>
        <w:t>7</w:t>
      </w:r>
      <w:r>
        <w:rPr>
          <w:rFonts w:hint="eastAsia"/>
          <w:b/>
          <w:highlight w:val="none"/>
        </w:rPr>
        <w:t xml:space="preserve"> “十四五”各镇街公共领域充（换）电站建设目标</w:t>
      </w:r>
    </w:p>
    <w:p>
      <w:pPr>
        <w:pStyle w:val="3"/>
        <w:ind w:firstLine="640"/>
        <w:rPr>
          <w:highlight w:val="none"/>
        </w:rPr>
      </w:pPr>
      <w:bookmarkStart w:id="87" w:name="_Toc18821"/>
      <w:r>
        <w:rPr>
          <w:rFonts w:hint="eastAsia"/>
          <w:highlight w:val="none"/>
        </w:rPr>
        <w:t>四、主要任务</w:t>
      </w:r>
      <w:bookmarkEnd w:id="84"/>
      <w:bookmarkEnd w:id="85"/>
      <w:bookmarkEnd w:id="87"/>
    </w:p>
    <w:p>
      <w:pPr>
        <w:pStyle w:val="4"/>
        <w:ind w:firstLine="643"/>
        <w:rPr>
          <w:rFonts w:ascii="Times New Roman" w:hAnsi="Times New Roman"/>
          <w:highlight w:val="none"/>
        </w:rPr>
      </w:pPr>
      <w:bookmarkStart w:id="88" w:name="_Toc23720"/>
      <w:bookmarkStart w:id="89" w:name="_Toc66354677"/>
      <w:bookmarkStart w:id="90" w:name="_Toc7876"/>
      <w:r>
        <w:rPr>
          <w:rFonts w:hint="eastAsia" w:ascii="Times New Roman" w:hAnsi="Times New Roman"/>
          <w:highlight w:val="none"/>
        </w:rPr>
        <w:t>（一）统筹充电基础设施布局</w:t>
      </w:r>
      <w:bookmarkEnd w:id="88"/>
      <w:bookmarkEnd w:id="89"/>
      <w:bookmarkEnd w:id="90"/>
    </w:p>
    <w:p>
      <w:pPr>
        <w:pStyle w:val="5"/>
        <w:ind w:firstLine="643"/>
        <w:rPr>
          <w:rFonts w:hint="eastAsia" w:eastAsia="仿宋_GB2312"/>
          <w:highlight w:val="none"/>
          <w:lang w:eastAsia="zh-CN"/>
        </w:rPr>
      </w:pPr>
      <w:bookmarkStart w:id="91" w:name="_Toc29578"/>
      <w:bookmarkStart w:id="92" w:name="_Toc66354678"/>
      <w:bookmarkStart w:id="93" w:name="_Toc13355"/>
      <w:bookmarkStart w:id="94" w:name="_Toc65252693"/>
      <w:bookmarkStart w:id="95" w:name="_Toc10908"/>
      <w:r>
        <w:rPr>
          <w:rFonts w:hint="eastAsia"/>
          <w:highlight w:val="none"/>
        </w:rPr>
        <w:t>1.加强核心区域充电基础设施</w:t>
      </w:r>
      <w:bookmarkEnd w:id="91"/>
      <w:bookmarkEnd w:id="92"/>
      <w:bookmarkEnd w:id="93"/>
      <w:bookmarkEnd w:id="94"/>
      <w:r>
        <w:rPr>
          <w:rFonts w:hint="eastAsia"/>
          <w:highlight w:val="none"/>
          <w:lang w:eastAsia="zh-CN"/>
        </w:rPr>
        <w:t>建设</w:t>
      </w:r>
      <w:bookmarkEnd w:id="95"/>
    </w:p>
    <w:p>
      <w:pPr>
        <w:ind w:firstLine="640"/>
        <w:rPr>
          <w:highlight w:val="none"/>
        </w:rPr>
      </w:pPr>
      <w:r>
        <w:rPr>
          <w:rFonts w:hint="eastAsia"/>
          <w:highlight w:val="none"/>
        </w:rPr>
        <w:t>坚持车桩协同发展，采用点线面结合的方式，加强义乌市核心区域充电基础设施布局。重点以双江湖大学城建设区块、未来社区、城市有机更新区块、铁路义乌站枢纽、电商产业园、物流</w:t>
      </w:r>
      <w:r>
        <w:rPr>
          <w:rFonts w:hint="eastAsia"/>
          <w:highlight w:val="none"/>
          <w:lang w:eastAsia="zh-CN"/>
        </w:rPr>
        <w:t>园区</w:t>
      </w:r>
      <w:r>
        <w:rPr>
          <w:rFonts w:hint="eastAsia"/>
          <w:highlight w:val="none"/>
        </w:rPr>
        <w:t>等公共停车场，以及其他综合交通枢纽、停车换乘（P+R）等各类社会公共停车场为主，提高充电桩布局科学性和合理性。借助立体式停车场的发展</w:t>
      </w:r>
      <w:r>
        <w:rPr>
          <w:highlight w:val="none"/>
        </w:rPr>
        <w:t>，</w:t>
      </w:r>
      <w:r>
        <w:rPr>
          <w:rFonts w:hint="eastAsia"/>
          <w:highlight w:val="none"/>
        </w:rPr>
        <w:t>探索在立体式停车场配置一定比例的充电桩</w:t>
      </w:r>
      <w:r>
        <w:rPr>
          <w:highlight w:val="none"/>
        </w:rPr>
        <w:t>。</w:t>
      </w:r>
      <w:r>
        <w:rPr>
          <w:rFonts w:hint="eastAsia"/>
          <w:highlight w:val="none"/>
        </w:rPr>
        <w:t>强化充电桩规划与国土空间规划、其他专项规划和控制性详细规划的衔接。</w:t>
      </w:r>
    </w:p>
    <w:tbl>
      <w:tblPr>
        <w:tblStyle w:val="16"/>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327" w:hRule="atLeast"/>
        </w:trPr>
        <w:tc>
          <w:tcPr>
            <w:tcW w:w="8522" w:type="dxa"/>
          </w:tcPr>
          <w:p>
            <w:pPr>
              <w:keepNext w:val="0"/>
              <w:keepLines w:val="0"/>
              <w:suppressLineNumbers w:val="0"/>
              <w:spacing w:before="0" w:beforeAutospacing="0" w:after="0" w:afterAutospacing="0"/>
              <w:ind w:left="0" w:right="0" w:firstLine="0" w:firstLineChars="0"/>
              <w:jc w:val="center"/>
              <w:outlineLvl w:val="3"/>
              <w:rPr>
                <w:rFonts w:hint="default" w:cs="Times New Roman" w:eastAsiaTheme="minorEastAsia"/>
                <w:b/>
                <w:bCs/>
                <w:sz w:val="28"/>
                <w:szCs w:val="24"/>
                <w:highlight w:val="none"/>
              </w:rPr>
            </w:pPr>
            <w:r>
              <w:rPr>
                <w:rFonts w:hint="eastAsia" w:cs="Times New Roman" w:eastAsiaTheme="minorEastAsia"/>
                <w:b/>
                <w:bCs/>
                <w:sz w:val="28"/>
                <w:szCs w:val="24"/>
                <w:highlight w:val="none"/>
              </w:rPr>
              <w:t>专栏2  核心区域充电站建设工程</w:t>
            </w:r>
          </w:p>
          <w:p>
            <w:pPr>
              <w:keepNext w:val="0"/>
              <w:keepLines w:val="0"/>
              <w:suppressLineNumbers w:val="0"/>
              <w:spacing w:before="0" w:beforeAutospacing="0" w:after="0" w:afterAutospacing="0"/>
              <w:ind w:left="0" w:right="0" w:firstLine="480"/>
              <w:rPr>
                <w:rFonts w:hint="default" w:eastAsiaTheme="minorEastAsia"/>
                <w:sz w:val="24"/>
                <w:szCs w:val="24"/>
                <w:highlight w:val="none"/>
              </w:rPr>
            </w:pPr>
            <w:r>
              <w:rPr>
                <w:rFonts w:hint="eastAsia" w:eastAsiaTheme="minorEastAsia"/>
                <w:sz w:val="24"/>
                <w:szCs w:val="24"/>
                <w:highlight w:val="none"/>
              </w:rPr>
              <w:t>针对义乌市双江湖大学城建设区块、未来社区、城市有机更新区块、火车站、电商产业园、物流</w:t>
            </w:r>
            <w:r>
              <w:rPr>
                <w:rFonts w:hint="eastAsia" w:eastAsiaTheme="minorEastAsia"/>
                <w:sz w:val="24"/>
                <w:szCs w:val="24"/>
                <w:highlight w:val="none"/>
                <w:lang w:eastAsia="zh-CN"/>
              </w:rPr>
              <w:t>园区</w:t>
            </w:r>
            <w:r>
              <w:rPr>
                <w:rFonts w:hint="eastAsia" w:eastAsiaTheme="minorEastAsia"/>
                <w:sz w:val="24"/>
                <w:szCs w:val="24"/>
                <w:highlight w:val="none"/>
              </w:rPr>
              <w:t>等重点区域，开展充电桩布局和建设专项行动计划。</w:t>
            </w:r>
            <w:r>
              <w:rPr>
                <w:rStyle w:val="38"/>
                <w:rFonts w:hint="default" w:ascii="Times New Roman" w:hAnsi="Times New Roman" w:eastAsiaTheme="minorEastAsia"/>
                <w:sz w:val="24"/>
                <w:szCs w:val="24"/>
                <w:highlight w:val="none"/>
              </w:rPr>
              <w:t>新建公共建筑停车场及社会公共停车场具有充电设施或预留充电设施建设条件的停车位</w:t>
            </w:r>
            <w:r>
              <w:rPr>
                <w:rStyle w:val="38"/>
                <w:rFonts w:hint="eastAsia" w:eastAsiaTheme="minorEastAsia"/>
                <w:sz w:val="24"/>
                <w:szCs w:val="24"/>
                <w:highlight w:val="none"/>
                <w:lang w:eastAsia="zh-CN"/>
              </w:rPr>
              <w:t>占总体车位的比例在全省基础上，再增加不少于</w:t>
            </w:r>
            <w:r>
              <w:rPr>
                <w:rStyle w:val="38"/>
                <w:rFonts w:hint="eastAsia" w:eastAsiaTheme="minorEastAsia"/>
                <w:sz w:val="24"/>
                <w:szCs w:val="24"/>
                <w:highlight w:val="none"/>
                <w:lang w:val="en-US" w:eastAsia="zh-CN"/>
              </w:rPr>
              <w:t>5%的</w:t>
            </w:r>
            <w:r>
              <w:rPr>
                <w:rStyle w:val="38"/>
                <w:rFonts w:hint="eastAsia" w:eastAsiaTheme="minorEastAsia"/>
                <w:sz w:val="24"/>
                <w:szCs w:val="24"/>
                <w:highlight w:val="none"/>
                <w:lang w:eastAsia="zh-CN"/>
              </w:rPr>
              <w:t>比例</w:t>
            </w:r>
            <w:r>
              <w:rPr>
                <w:rStyle w:val="38"/>
                <w:rFonts w:hint="default" w:ascii="Times New Roman" w:hAnsi="Times New Roman" w:eastAsiaTheme="minorEastAsia"/>
                <w:sz w:val="24"/>
                <w:szCs w:val="24"/>
                <w:highlight w:val="none"/>
              </w:rPr>
              <w:t>，鼓励按照不低于</w:t>
            </w:r>
            <w:r>
              <w:rPr>
                <w:rStyle w:val="38"/>
                <w:rFonts w:hint="eastAsia" w:eastAsiaTheme="minorEastAsia"/>
                <w:sz w:val="24"/>
                <w:szCs w:val="24"/>
                <w:highlight w:val="none"/>
                <w:lang w:eastAsia="zh-CN"/>
              </w:rPr>
              <w:t>，</w:t>
            </w:r>
            <w:r>
              <w:rPr>
                <w:rStyle w:val="38"/>
                <w:rFonts w:hint="default" w:ascii="Times New Roman" w:hAnsi="Times New Roman" w:eastAsiaTheme="minorEastAsia"/>
                <w:sz w:val="24"/>
                <w:szCs w:val="24"/>
                <w:highlight w:val="none"/>
              </w:rPr>
              <w:t>总停车位</w:t>
            </w:r>
            <w:r>
              <w:rPr>
                <w:rStyle w:val="39"/>
                <w:rFonts w:eastAsiaTheme="minorEastAsia"/>
                <w:sz w:val="24"/>
                <w:szCs w:val="24"/>
                <w:highlight w:val="none"/>
              </w:rPr>
              <w:t>20%</w:t>
            </w:r>
            <w:r>
              <w:rPr>
                <w:rStyle w:val="38"/>
                <w:rFonts w:hint="default" w:ascii="Times New Roman" w:hAnsi="Times New Roman" w:eastAsiaTheme="minorEastAsia"/>
                <w:sz w:val="24"/>
                <w:szCs w:val="24"/>
                <w:highlight w:val="none"/>
              </w:rPr>
              <w:t>的比例配建充电设施</w:t>
            </w:r>
            <w:r>
              <w:rPr>
                <w:rFonts w:hint="eastAsia" w:eastAsiaTheme="minorEastAsia"/>
                <w:sz w:val="24"/>
                <w:szCs w:val="24"/>
                <w:highlight w:val="none"/>
              </w:rPr>
              <w:t>，达不到比例的项目，相关部门不予审批、验收。</w:t>
            </w:r>
            <w:r>
              <w:rPr>
                <w:rStyle w:val="38"/>
                <w:rFonts w:hint="default" w:ascii="Times New Roman" w:hAnsi="Times New Roman" w:eastAsiaTheme="minorEastAsia"/>
                <w:sz w:val="24"/>
                <w:szCs w:val="24"/>
                <w:highlight w:val="none"/>
              </w:rPr>
              <w:t>既有大型公共建筑配建停车场和社会公共停车场，通过改造使具有充电设施的停车位逐步达到总停车位的</w:t>
            </w:r>
            <w:r>
              <w:rPr>
                <w:rStyle w:val="39"/>
                <w:rFonts w:eastAsiaTheme="minorEastAsia"/>
                <w:sz w:val="24"/>
                <w:szCs w:val="24"/>
                <w:highlight w:val="none"/>
              </w:rPr>
              <w:t>10%</w:t>
            </w:r>
            <w:r>
              <w:rPr>
                <w:rStyle w:val="38"/>
                <w:rFonts w:hint="default" w:ascii="Times New Roman" w:hAnsi="Times New Roman" w:eastAsiaTheme="minorEastAsia"/>
                <w:sz w:val="24"/>
                <w:szCs w:val="24"/>
                <w:highlight w:val="none"/>
              </w:rPr>
              <w:t>以上。</w:t>
            </w:r>
            <w:r>
              <w:rPr>
                <w:rFonts w:hint="eastAsia" w:eastAsiaTheme="minorEastAsia"/>
                <w:sz w:val="24"/>
                <w:szCs w:val="24"/>
                <w:highlight w:val="none"/>
              </w:rPr>
              <w:t>因地制宜统筹考虑土地集约化原则及周边的供电、交通、消防等公用设施条件，</w:t>
            </w:r>
            <w:r>
              <w:rPr>
                <w:rStyle w:val="38"/>
                <w:rFonts w:hint="default" w:ascii="Times New Roman" w:hAnsi="Times New Roman" w:eastAsiaTheme="minorEastAsia"/>
                <w:sz w:val="24"/>
                <w:szCs w:val="24"/>
                <w:highlight w:val="none"/>
              </w:rPr>
              <w:t>加快配套充换电设施建设。</w:t>
            </w:r>
            <w:r>
              <w:rPr>
                <w:rFonts w:hint="eastAsia" w:eastAsiaTheme="minorEastAsia"/>
                <w:sz w:val="24"/>
                <w:szCs w:val="24"/>
                <w:highlight w:val="none"/>
              </w:rPr>
              <w:t>改扩建项目要结合实施旧城改造、停车位改建、道路改建等工程。设置新能源汽车专用车位，引导燃油车避免占用充电车位，探索出台针对核心区域停车场的相关管理办法，规范充电桩车位的使用，有效提高核心区域充电桩使用率。</w:t>
            </w:r>
          </w:p>
        </w:tc>
      </w:tr>
    </w:tbl>
    <w:p>
      <w:pPr>
        <w:pStyle w:val="5"/>
        <w:ind w:firstLine="643"/>
        <w:rPr>
          <w:rFonts w:hint="eastAsia" w:eastAsia="仿宋_GB2312"/>
          <w:highlight w:val="none"/>
          <w:lang w:eastAsia="zh-CN"/>
        </w:rPr>
      </w:pPr>
      <w:bookmarkStart w:id="96" w:name="_Toc5079"/>
      <w:bookmarkStart w:id="97" w:name="_Toc66354679"/>
      <w:bookmarkStart w:id="98" w:name="_Toc14968"/>
      <w:bookmarkStart w:id="99" w:name="_Toc8213"/>
      <w:bookmarkStart w:id="100" w:name="_Toc65252694"/>
      <w:r>
        <w:rPr>
          <w:rFonts w:hint="eastAsia"/>
          <w:highlight w:val="none"/>
        </w:rPr>
        <w:t>2.加快偏远城郊的充电基础设施</w:t>
      </w:r>
      <w:bookmarkEnd w:id="96"/>
      <w:bookmarkEnd w:id="97"/>
      <w:bookmarkEnd w:id="98"/>
      <w:r>
        <w:rPr>
          <w:rFonts w:hint="eastAsia"/>
          <w:highlight w:val="none"/>
          <w:lang w:eastAsia="zh-CN"/>
        </w:rPr>
        <w:t>建设</w:t>
      </w:r>
      <w:bookmarkEnd w:id="99"/>
    </w:p>
    <w:p>
      <w:pPr>
        <w:ind w:firstLine="640"/>
        <w:rPr>
          <w:highlight w:val="none"/>
        </w:rPr>
      </w:pPr>
      <w:bookmarkStart w:id="101" w:name="_Toc70336046"/>
      <w:r>
        <w:rPr>
          <w:rFonts w:hint="eastAsia"/>
          <w:highlight w:val="none"/>
        </w:rPr>
        <w:t>结合我省共同富裕示范区建设、乡村振兴等重大战略，按照“由无到有，由疏到密”的原则，协调发展、合理布局城市周边、农村地区的公共领域充电基础设施、自用充电基础设施。鼓励在乡镇和相对集中的村组公共场所建设公共充电设施，保障乡镇、村居民的接桩需求，突出对农村地区充电基础设施建设的政策支持。持续推动农村电网改造升级，确保电力供应满足电动汽车充电需求。探索农村充电设施开展光、充、储试点示范，鼓励乡镇、农村充电桩对外错峰开放。到2025年，建设不少于2个“示范村”，基本建成乡镇农村充电设施保障网络。</w:t>
      </w:r>
      <w:bookmarkEnd w:id="101"/>
    </w:p>
    <w:p>
      <w:pPr>
        <w:pStyle w:val="5"/>
        <w:ind w:firstLine="643"/>
        <w:rPr>
          <w:rFonts w:hint="eastAsia" w:eastAsia="仿宋_GB2312"/>
          <w:highlight w:val="none"/>
          <w:lang w:eastAsia="zh-CN"/>
        </w:rPr>
      </w:pPr>
      <w:bookmarkStart w:id="102" w:name="_Toc13471"/>
      <w:bookmarkStart w:id="103" w:name="_Toc66354680"/>
      <w:bookmarkStart w:id="104" w:name="_Toc24096"/>
      <w:bookmarkStart w:id="105" w:name="_Toc348"/>
      <w:r>
        <w:rPr>
          <w:rFonts w:hint="eastAsia"/>
          <w:highlight w:val="none"/>
        </w:rPr>
        <w:t>3.优化</w:t>
      </w:r>
      <w:bookmarkEnd w:id="100"/>
      <w:bookmarkStart w:id="106" w:name="_Toc65252695"/>
      <w:r>
        <w:rPr>
          <w:rFonts w:hint="eastAsia"/>
          <w:highlight w:val="none"/>
        </w:rPr>
        <w:t>公共领域</w:t>
      </w:r>
      <w:bookmarkEnd w:id="102"/>
      <w:bookmarkEnd w:id="103"/>
      <w:r>
        <w:rPr>
          <w:rFonts w:hint="eastAsia"/>
          <w:highlight w:val="none"/>
        </w:rPr>
        <w:t>充换电基础设施</w:t>
      </w:r>
      <w:bookmarkEnd w:id="104"/>
      <w:r>
        <w:rPr>
          <w:rFonts w:hint="eastAsia"/>
          <w:highlight w:val="none"/>
          <w:lang w:eastAsia="zh-CN"/>
        </w:rPr>
        <w:t>布局</w:t>
      </w:r>
      <w:bookmarkEnd w:id="105"/>
    </w:p>
    <w:p>
      <w:pPr>
        <w:ind w:firstLine="640"/>
        <w:rPr>
          <w:highlight w:val="none"/>
        </w:rPr>
      </w:pPr>
      <w:r>
        <w:rPr>
          <w:rFonts w:hint="eastAsia"/>
          <w:highlight w:val="none"/>
        </w:rPr>
        <w:t>优化以公用充电基础设施为主专用充电设施为辅、充换电站为补充的充电桩布局，鼓励充电运营企业通过新建、改建、扩容、迁移等方式，逐步提高快充桩占比。重点推动公共充电桩建设，以商场、车站等公共停车场为主，优先利用存量停车场等土地资源，以新增土地供应方式建设的公共充换电场站，应加强论证。加快机场、物流</w:t>
      </w:r>
      <w:r>
        <w:rPr>
          <w:rFonts w:hint="eastAsia"/>
          <w:highlight w:val="none"/>
          <w:lang w:eastAsia="zh-CN"/>
        </w:rPr>
        <w:t>配送</w:t>
      </w:r>
      <w:r>
        <w:rPr>
          <w:rFonts w:hint="eastAsia"/>
          <w:highlight w:val="none"/>
        </w:rPr>
        <w:t>、环卫、警务等领域专用充换电站建设，稳步推进电动出租专用充电基础设施，因地制宜在出租车服务区建设适量充换电设施。鼓励开展建设电动重卡汽车换电站，进一步扩大专用电动汽车应用。</w:t>
      </w:r>
    </w:p>
    <w:p>
      <w:pPr>
        <w:pStyle w:val="5"/>
        <w:ind w:firstLine="643"/>
        <w:rPr>
          <w:highlight w:val="none"/>
        </w:rPr>
      </w:pPr>
      <w:bookmarkStart w:id="107" w:name="_Toc66354681"/>
      <w:bookmarkStart w:id="108" w:name="_Toc29841"/>
      <w:bookmarkStart w:id="109" w:name="_Toc14685"/>
      <w:bookmarkStart w:id="110" w:name="_Toc15616"/>
      <w:r>
        <w:rPr>
          <w:rFonts w:hint="eastAsia"/>
          <w:highlight w:val="none"/>
        </w:rPr>
        <w:t>4.强化自用充</w:t>
      </w:r>
      <w:bookmarkEnd w:id="106"/>
      <w:bookmarkEnd w:id="107"/>
      <w:bookmarkEnd w:id="108"/>
      <w:r>
        <w:rPr>
          <w:rFonts w:hint="eastAsia"/>
          <w:highlight w:val="none"/>
        </w:rPr>
        <w:t>电基础设施建设</w:t>
      </w:r>
      <w:bookmarkEnd w:id="109"/>
      <w:bookmarkEnd w:id="110"/>
    </w:p>
    <w:p>
      <w:pPr>
        <w:ind w:firstLine="640"/>
        <w:rPr>
          <w:rFonts w:hint="eastAsia"/>
          <w:highlight w:val="none"/>
        </w:rPr>
      </w:pPr>
      <w:r>
        <w:rPr>
          <w:rFonts w:hint="eastAsia"/>
          <w:highlight w:val="none"/>
        </w:rPr>
        <w:t>重点结合未来</w:t>
      </w:r>
      <w:r>
        <w:rPr>
          <w:rFonts w:hint="eastAsia"/>
          <w:highlight w:val="none"/>
          <w:lang w:eastAsia="zh-CN"/>
        </w:rPr>
        <w:t>社区</w:t>
      </w:r>
      <w:r>
        <w:rPr>
          <w:rFonts w:hint="eastAsia"/>
          <w:highlight w:val="none"/>
        </w:rPr>
        <w:t>、老旧小区综合改造等项目建设，</w:t>
      </w:r>
      <w:r>
        <w:rPr>
          <w:rFonts w:hint="eastAsia"/>
          <w:highlight w:val="none"/>
          <w:lang w:eastAsia="zh-CN"/>
        </w:rPr>
        <w:t>在满足消防规范前提下，加快推进</w:t>
      </w:r>
      <w:r>
        <w:rPr>
          <w:rFonts w:hint="eastAsia"/>
          <w:highlight w:val="none"/>
        </w:rPr>
        <w:t>自用充电桩布局建设</w:t>
      </w:r>
      <w:r>
        <w:rPr>
          <w:rFonts w:hint="eastAsia"/>
          <w:highlight w:val="none"/>
          <w:lang w:eastAsia="zh-CN"/>
        </w:rPr>
        <w:t>。</w:t>
      </w:r>
      <w:r>
        <w:rPr>
          <w:rFonts w:hint="eastAsia"/>
          <w:highlight w:val="none"/>
        </w:rPr>
        <w:t>新建居住区要落实100%固定车位预留充电桩建设安装条件，需将管线和桥架等供电设施建设到车位以满足直接装表接电需要。采用分类处理的方式，对具有固定停车位及电源条件的，坚持“一车一桩”，推进自用充电设施建设。对无固定停车位、有电源条件的，</w:t>
      </w:r>
      <w:r>
        <w:rPr>
          <w:rFonts w:hint="eastAsia"/>
          <w:highlight w:val="none"/>
          <w:lang w:eastAsia="zh-CN"/>
        </w:rPr>
        <w:t>开展</w:t>
      </w:r>
      <w:r>
        <w:rPr>
          <w:rFonts w:hint="eastAsia"/>
          <w:highlight w:val="none"/>
        </w:rPr>
        <w:t>小区公共管理区域配建充电设施，通过改造使具有充电设施的停车位逐步达到总停车位的</w:t>
      </w:r>
      <w:r>
        <w:rPr>
          <w:rFonts w:hint="eastAsia"/>
          <w:highlight w:val="none"/>
          <w:lang w:val="en-US" w:eastAsia="zh-CN"/>
        </w:rPr>
        <w:t>5</w:t>
      </w:r>
      <w:r>
        <w:rPr>
          <w:rFonts w:hint="eastAsia"/>
          <w:highlight w:val="none"/>
        </w:rPr>
        <w:t>%以上。鼓励充电服务、物业服务、开发商等企业参与居民区充电设施建设运营管理。</w:t>
      </w:r>
      <w:bookmarkStart w:id="111" w:name="_Toc66354682"/>
      <w:bookmarkStart w:id="112" w:name="_Toc65252697"/>
    </w:p>
    <w:tbl>
      <w:tblPr>
        <w:tblStyle w:val="16"/>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8522" w:type="dxa"/>
          </w:tcPr>
          <w:p>
            <w:pPr>
              <w:keepNext w:val="0"/>
              <w:keepLines w:val="0"/>
              <w:suppressLineNumbers w:val="0"/>
              <w:spacing w:before="0" w:beforeAutospacing="0" w:after="0" w:afterAutospacing="0"/>
              <w:ind w:left="0" w:right="0" w:firstLine="0" w:firstLineChars="0"/>
              <w:jc w:val="center"/>
              <w:outlineLvl w:val="3"/>
              <w:rPr>
                <w:rFonts w:hint="default" w:cs="Times New Roman" w:eastAsiaTheme="minorEastAsia"/>
                <w:b/>
                <w:bCs/>
                <w:sz w:val="24"/>
                <w:highlight w:val="none"/>
              </w:rPr>
            </w:pPr>
            <w:r>
              <w:rPr>
                <w:rFonts w:hint="eastAsia" w:cs="Times New Roman" w:eastAsiaTheme="minorEastAsia"/>
                <w:b/>
                <w:bCs/>
                <w:sz w:val="28"/>
                <w:szCs w:val="24"/>
                <w:highlight w:val="none"/>
              </w:rPr>
              <w:t>专栏</w:t>
            </w:r>
            <w:r>
              <w:rPr>
                <w:rFonts w:hint="eastAsia" w:cs="Times New Roman" w:eastAsiaTheme="minorEastAsia"/>
                <w:b/>
                <w:bCs/>
                <w:sz w:val="28"/>
                <w:szCs w:val="24"/>
                <w:highlight w:val="none"/>
                <w:lang w:val="en-US" w:eastAsia="zh-CN"/>
              </w:rPr>
              <w:t>3 规范民用建筑停车库充电基础设施建设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82"/>
              <w:textAlignment w:val="auto"/>
              <w:outlineLvl w:val="3"/>
              <w:rPr>
                <w:rFonts w:hint="eastAsia" w:eastAsiaTheme="minorEastAsia"/>
                <w:sz w:val="24"/>
                <w:szCs w:val="24"/>
                <w:highlight w:val="none"/>
                <w:lang w:eastAsia="zh-CN"/>
              </w:rPr>
            </w:pPr>
            <w:r>
              <w:rPr>
                <w:rFonts w:hint="eastAsia" w:eastAsiaTheme="minorEastAsia"/>
                <w:b/>
                <w:bCs/>
                <w:sz w:val="24"/>
                <w:szCs w:val="24"/>
                <w:highlight w:val="none"/>
              </w:rPr>
              <w:t>严格</w:t>
            </w:r>
            <w:r>
              <w:rPr>
                <w:rFonts w:hint="eastAsia" w:eastAsiaTheme="minorEastAsia"/>
                <w:b/>
                <w:bCs/>
                <w:sz w:val="24"/>
                <w:szCs w:val="24"/>
                <w:highlight w:val="none"/>
                <w:lang w:eastAsia="zh-CN"/>
              </w:rPr>
              <w:t>落实新建民用充电基础设施建设</w:t>
            </w:r>
            <w:r>
              <w:rPr>
                <w:rFonts w:hint="eastAsia" w:eastAsiaTheme="minorEastAsia"/>
                <w:b/>
                <w:bCs/>
                <w:sz w:val="24"/>
                <w:szCs w:val="24"/>
                <w:highlight w:val="none"/>
              </w:rPr>
              <w:t>标准</w:t>
            </w:r>
            <w:r>
              <w:rPr>
                <w:rFonts w:hint="eastAsia" w:eastAsiaTheme="minorEastAsia"/>
                <w:b/>
                <w:bCs/>
                <w:sz w:val="24"/>
                <w:szCs w:val="24"/>
                <w:highlight w:val="none"/>
                <w:lang w:eastAsia="zh-CN"/>
              </w:rPr>
              <w:t>。</w:t>
            </w:r>
            <w:r>
              <w:rPr>
                <w:rFonts w:hint="eastAsia" w:eastAsiaTheme="minorEastAsia"/>
                <w:b w:val="0"/>
                <w:bCs w:val="0"/>
                <w:sz w:val="24"/>
                <w:szCs w:val="24"/>
                <w:highlight w:val="none"/>
                <w:lang w:eastAsia="zh-CN"/>
              </w:rPr>
              <w:t>严格按照浙江省《民用建筑电动汽车充电设施配置与设计规范》（DB33/1121）要求在规划设计条件中进行明确配建充电桩或预留建设安装数量。</w:t>
            </w:r>
            <w:r>
              <w:rPr>
                <w:rFonts w:hint="eastAsia" w:eastAsiaTheme="minorEastAsia"/>
                <w:sz w:val="24"/>
                <w:szCs w:val="24"/>
                <w:highlight w:val="none"/>
                <w:lang w:eastAsia="zh-CN"/>
              </w:rPr>
              <w:t>审查机构在审查住宅项目工图时，应对地下充电设施设置是否符合工程建设强制性标准进行审核。核发相关建设工程规划许可证时，必须严格执行新建住宅配建停车位应100%预留充电设施建设安装条件，具有充电设施的停车位占总停车位的比例，应在全省目标基础上，再增加不少于</w:t>
            </w:r>
            <w:r>
              <w:rPr>
                <w:rFonts w:hint="eastAsia" w:eastAsiaTheme="minorEastAsia"/>
                <w:sz w:val="24"/>
                <w:szCs w:val="24"/>
                <w:highlight w:val="none"/>
                <w:lang w:val="en-US" w:eastAsia="zh-CN"/>
              </w:rPr>
              <w:t>5%的比例</w:t>
            </w:r>
            <w:r>
              <w:rPr>
                <w:rFonts w:hint="eastAsia" w:eastAsiaTheme="minorEastAsia"/>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82"/>
              <w:textAlignment w:val="auto"/>
              <w:outlineLvl w:val="3"/>
              <w:rPr>
                <w:rFonts w:hint="eastAsia" w:eastAsiaTheme="minorEastAsia"/>
                <w:b w:val="0"/>
                <w:bCs w:val="0"/>
                <w:sz w:val="24"/>
                <w:szCs w:val="24"/>
                <w:highlight w:val="none"/>
                <w:lang w:val="en-US" w:eastAsia="zh-CN"/>
              </w:rPr>
            </w:pPr>
            <w:r>
              <w:rPr>
                <w:rFonts w:hint="eastAsia" w:eastAsiaTheme="minorEastAsia"/>
                <w:b/>
                <w:bCs/>
                <w:sz w:val="24"/>
                <w:szCs w:val="24"/>
                <w:highlight w:val="none"/>
                <w:lang w:eastAsia="zh-CN"/>
              </w:rPr>
              <w:t>严格规范建设技术要求和流程。</w:t>
            </w:r>
            <w:r>
              <w:rPr>
                <w:rFonts w:hint="eastAsia" w:eastAsiaTheme="minorEastAsia"/>
                <w:b w:val="0"/>
                <w:bCs w:val="0"/>
                <w:sz w:val="24"/>
                <w:szCs w:val="24"/>
                <w:highlight w:val="none"/>
                <w:lang w:eastAsia="zh-CN"/>
              </w:rPr>
              <w:t>选用的地下充电设备应符合相关的国家产品标准，都应该符合现行国家标准《电动汽车传到充电系统》（</w:t>
            </w:r>
            <w:r>
              <w:rPr>
                <w:rFonts w:hint="eastAsia" w:eastAsiaTheme="minorEastAsia"/>
                <w:b w:val="0"/>
                <w:bCs w:val="0"/>
                <w:sz w:val="24"/>
                <w:szCs w:val="24"/>
                <w:highlight w:val="none"/>
                <w:lang w:val="en-US" w:eastAsia="zh-CN"/>
              </w:rPr>
              <w:t>GB/T18487.1）规定；设置地下停车库充电设施场所的消防措施，应满足现行国家标准《建筑设计防火规范》（GB50016）和《汽车库、修车库、停车场设计防火规范》GB50067的相关规定。</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auto"/>
              <w:ind w:left="0" w:right="0" w:firstLine="482"/>
              <w:textAlignment w:val="auto"/>
              <w:outlineLvl w:val="3"/>
              <w:rPr>
                <w:rFonts w:hint="default"/>
                <w:highlight w:val="none"/>
              </w:rPr>
            </w:pPr>
            <w:r>
              <w:rPr>
                <w:rFonts w:hint="eastAsia" w:eastAsiaTheme="minorEastAsia"/>
                <w:b/>
                <w:bCs/>
                <w:sz w:val="24"/>
                <w:szCs w:val="24"/>
                <w:highlight w:val="none"/>
                <w:lang w:val="en-US" w:eastAsia="zh-CN"/>
              </w:rPr>
              <w:t>加强监督管理。</w:t>
            </w:r>
            <w:r>
              <w:rPr>
                <w:rFonts w:hint="eastAsia" w:eastAsiaTheme="minorEastAsia"/>
                <w:b w:val="0"/>
                <w:bCs w:val="0"/>
                <w:sz w:val="24"/>
                <w:szCs w:val="24"/>
                <w:highlight w:val="none"/>
                <w:lang w:val="en-US" w:eastAsia="zh-CN"/>
              </w:rPr>
              <w:t>对于已建民用建筑地下停车库改建，要加强对业委会的指导和监督，引导业主结合自身实际，按照“谁使用，谁付费”、“谁投资，谁受益”原则，在满足消防建设的前提下，统一改造建设安装地下充电设施。应当组织施工企业会同业委会或社区（未成立业委会）按照《电动汽车充换电设施工程施工和竣工验收规范》（NB/T33004）等标准的规定完成充电桩的验收和试充电确认。</w:t>
            </w:r>
          </w:p>
        </w:tc>
      </w:tr>
    </w:tbl>
    <w:p>
      <w:pPr>
        <w:pStyle w:val="2"/>
      </w:pPr>
    </w:p>
    <w:p>
      <w:pPr>
        <w:pStyle w:val="4"/>
        <w:ind w:firstLine="643"/>
        <w:rPr>
          <w:rFonts w:ascii="Times New Roman" w:hAnsi="Times New Roman"/>
          <w:highlight w:val="none"/>
        </w:rPr>
      </w:pPr>
      <w:bookmarkStart w:id="113" w:name="_Toc26827"/>
      <w:bookmarkStart w:id="114" w:name="_Toc23307"/>
      <w:r>
        <w:rPr>
          <w:rFonts w:hint="eastAsia" w:ascii="Times New Roman" w:hAnsi="Times New Roman"/>
          <w:highlight w:val="none"/>
        </w:rPr>
        <w:t>（二）</w:t>
      </w:r>
      <w:bookmarkEnd w:id="111"/>
      <w:r>
        <w:rPr>
          <w:rFonts w:hint="eastAsia" w:ascii="Times New Roman" w:hAnsi="Times New Roman"/>
          <w:highlight w:val="none"/>
        </w:rPr>
        <w:t>建立健全智能服务平台</w:t>
      </w:r>
      <w:bookmarkEnd w:id="113"/>
      <w:bookmarkEnd w:id="114"/>
    </w:p>
    <w:p>
      <w:pPr>
        <w:pStyle w:val="5"/>
        <w:ind w:firstLine="643"/>
        <w:rPr>
          <w:highlight w:val="none"/>
        </w:rPr>
      </w:pPr>
      <w:bookmarkStart w:id="115" w:name="_Toc22106"/>
      <w:bookmarkStart w:id="116" w:name="_Toc16739"/>
      <w:bookmarkStart w:id="117" w:name="_Toc24345"/>
      <w:r>
        <w:rPr>
          <w:rFonts w:hint="eastAsia"/>
          <w:highlight w:val="none"/>
        </w:rPr>
        <w:t>1.建立充电智能服务平台</w:t>
      </w:r>
      <w:bookmarkEnd w:id="115"/>
      <w:bookmarkEnd w:id="116"/>
      <w:bookmarkEnd w:id="117"/>
    </w:p>
    <w:p>
      <w:pPr>
        <w:ind w:firstLine="640"/>
        <w:rPr>
          <w:highlight w:val="none"/>
        </w:rPr>
      </w:pPr>
      <w:r>
        <w:rPr>
          <w:rFonts w:hint="eastAsia"/>
          <w:highlight w:val="none"/>
        </w:rPr>
        <w:t>运用大数据、云计算等技术手段，整合市内已有充电设施资源，搭建全市统一的充电基础设施信息智能服务平台</w:t>
      </w:r>
      <w:r>
        <w:rPr>
          <w:rFonts w:hint="eastAsia"/>
          <w:highlight w:val="none"/>
          <w:lang w:eastAsia="zh-CN"/>
        </w:rPr>
        <w:t>。</w:t>
      </w:r>
      <w:r>
        <w:rPr>
          <w:rFonts w:hint="eastAsia"/>
          <w:highlight w:val="none"/>
        </w:rPr>
        <w:t>以平台为抓手，实现充电桩的基础信息、运营等数据一屏感知，促进充电设施与智慧城市、交通融合发展。对充电桩和运营商的充电流、信息流、支付流等车桩数据进行核查比对，采用技术审核、补贴核定等手段，辅助补贴政策精准实施。到2022年底前，市级管理平台基本建成，公共领域充换电设施接入比例不低于80%</w:t>
      </w:r>
      <w:r>
        <w:rPr>
          <w:rFonts w:hint="eastAsia"/>
          <w:highlight w:val="none"/>
          <w:lang w:eastAsia="zh-CN"/>
        </w:rPr>
        <w:t>。</w:t>
      </w:r>
      <w:r>
        <w:rPr>
          <w:rFonts w:hint="eastAsia"/>
          <w:highlight w:val="none"/>
        </w:rPr>
        <w:t>待省级平台建设完成后，强化与省级平台融合衔接和数据共享，形成全省统一找桩、统一监管的省市县联动机制。</w:t>
      </w:r>
    </w:p>
    <w:p>
      <w:pPr>
        <w:pStyle w:val="5"/>
        <w:ind w:firstLine="643"/>
        <w:rPr>
          <w:highlight w:val="none"/>
        </w:rPr>
      </w:pPr>
      <w:bookmarkStart w:id="118" w:name="_Toc4944"/>
      <w:bookmarkStart w:id="119" w:name="_Toc29411"/>
      <w:bookmarkStart w:id="120" w:name="_Toc30130"/>
      <w:r>
        <w:rPr>
          <w:rFonts w:hint="eastAsia"/>
          <w:highlight w:val="none"/>
        </w:rPr>
        <w:t>2.</w:t>
      </w:r>
      <w:r>
        <w:rPr>
          <w:rFonts w:hint="eastAsia"/>
          <w:highlight w:val="none"/>
          <w:lang w:eastAsia="zh-CN"/>
        </w:rPr>
        <w:t>构建</w:t>
      </w:r>
      <w:r>
        <w:rPr>
          <w:rFonts w:hint="eastAsia"/>
          <w:highlight w:val="none"/>
          <w:shd w:val="clear" w:color="auto" w:fill="FFFFFF"/>
        </w:rPr>
        <w:t>互联互通服务体系</w:t>
      </w:r>
      <w:bookmarkEnd w:id="118"/>
      <w:bookmarkEnd w:id="119"/>
      <w:bookmarkEnd w:id="120"/>
    </w:p>
    <w:p>
      <w:pPr>
        <w:ind w:firstLine="640"/>
        <w:rPr>
          <w:highlight w:val="none"/>
        </w:rPr>
      </w:pPr>
      <w:r>
        <w:rPr>
          <w:rFonts w:hint="eastAsia"/>
          <w:highlight w:val="none"/>
        </w:rPr>
        <w:t>以平台为载体，充分整合义乌市电动汽车充电设施资源，构建以充电智能服务平台为核心的“互联网+管理+服务”模式。引导和督促义乌市各类充电运营商接入市级服务平台，强化公共领域充电基础设施的互联互通。加快推动义乌市充电基础设施及平台建设与电动汽车发展、综合功能服务站建设等项目融合，积极开展智能有序充电、电动汽车与可再生能源、城市基础设施与城际智能交通等综合示范。</w:t>
      </w:r>
      <w:r>
        <w:rPr>
          <w:rStyle w:val="38"/>
          <w:rFonts w:hint="default" w:ascii="Times New Roman" w:hAnsi="Times New Roman"/>
          <w:highlight w:val="none"/>
        </w:rPr>
        <w:t>高标准打造车</w:t>
      </w:r>
      <w:r>
        <w:rPr>
          <w:rStyle w:val="40"/>
          <w:highlight w:val="none"/>
        </w:rPr>
        <w:t>-</w:t>
      </w:r>
      <w:r>
        <w:rPr>
          <w:rStyle w:val="38"/>
          <w:rFonts w:hint="default" w:ascii="Times New Roman" w:hAnsi="Times New Roman"/>
          <w:highlight w:val="none"/>
        </w:rPr>
        <w:t>桩</w:t>
      </w:r>
      <w:r>
        <w:rPr>
          <w:rStyle w:val="40"/>
          <w:highlight w:val="none"/>
        </w:rPr>
        <w:t>-</w:t>
      </w:r>
      <w:r>
        <w:rPr>
          <w:rStyle w:val="38"/>
          <w:rFonts w:hint="default" w:ascii="Times New Roman" w:hAnsi="Times New Roman"/>
          <w:highlight w:val="none"/>
        </w:rPr>
        <w:t>电网</w:t>
      </w:r>
      <w:r>
        <w:rPr>
          <w:rStyle w:val="40"/>
          <w:highlight w:val="none"/>
        </w:rPr>
        <w:t>-</w:t>
      </w:r>
      <w:r>
        <w:rPr>
          <w:rStyle w:val="38"/>
          <w:rFonts w:hint="default" w:ascii="Times New Roman" w:hAnsi="Times New Roman"/>
          <w:highlight w:val="none"/>
        </w:rPr>
        <w:t>互联网</w:t>
      </w:r>
      <w:r>
        <w:rPr>
          <w:rStyle w:val="40"/>
          <w:highlight w:val="none"/>
        </w:rPr>
        <w:t>-</w:t>
      </w:r>
      <w:r>
        <w:rPr>
          <w:rStyle w:val="38"/>
          <w:rFonts w:hint="default" w:ascii="Times New Roman" w:hAnsi="Times New Roman"/>
          <w:highlight w:val="none"/>
        </w:rPr>
        <w:t>多种增值业务的融合系统，</w:t>
      </w:r>
      <w:r>
        <w:rPr>
          <w:rFonts w:hint="eastAsia"/>
          <w:highlight w:val="none"/>
        </w:rPr>
        <w:t>完善智能充电引导，推进支付互联互通，不断提高用户体验，助力提升充电服务水平。</w:t>
      </w:r>
    </w:p>
    <w:p>
      <w:pPr>
        <w:pStyle w:val="5"/>
        <w:ind w:firstLine="643"/>
        <w:rPr>
          <w:highlight w:val="none"/>
        </w:rPr>
      </w:pPr>
      <w:bookmarkStart w:id="121" w:name="_Toc7349"/>
      <w:bookmarkStart w:id="122" w:name="_Toc555"/>
      <w:bookmarkStart w:id="123" w:name="_Toc11791"/>
      <w:r>
        <w:rPr>
          <w:rFonts w:hint="eastAsia"/>
          <w:highlight w:val="none"/>
        </w:rPr>
        <w:t>3.</w:t>
      </w:r>
      <w:r>
        <w:rPr>
          <w:rFonts w:hint="eastAsia"/>
          <w:highlight w:val="none"/>
          <w:lang w:eastAsia="zh-CN"/>
        </w:rPr>
        <w:t>推进车</w:t>
      </w:r>
      <w:r>
        <w:rPr>
          <w:rFonts w:hint="eastAsia"/>
          <w:highlight w:val="none"/>
          <w:lang w:val="en-US" w:eastAsia="zh-CN"/>
        </w:rPr>
        <w:t>-桩-智慧能源融合发展</w:t>
      </w:r>
      <w:bookmarkEnd w:id="121"/>
      <w:bookmarkEnd w:id="122"/>
      <w:bookmarkEnd w:id="123"/>
    </w:p>
    <w:p>
      <w:pPr>
        <w:ind w:firstLine="640"/>
        <w:rPr>
          <w:highlight w:val="none"/>
        </w:rPr>
      </w:pPr>
      <w:r>
        <w:rPr>
          <w:rFonts w:hint="eastAsia"/>
          <w:highlight w:val="none"/>
        </w:rPr>
        <w:t>探索充电基础设施与电力调度、可再生能源发展和储能系统高效协同，</w:t>
      </w:r>
      <w:r>
        <w:rPr>
          <w:rFonts w:hint="eastAsia"/>
          <w:highlight w:val="none"/>
          <w:lang w:eastAsia="zh-CN"/>
        </w:rPr>
        <w:t>推动车</w:t>
      </w:r>
      <w:r>
        <w:rPr>
          <w:rFonts w:hint="eastAsia"/>
          <w:highlight w:val="none"/>
          <w:lang w:val="en-US" w:eastAsia="zh-CN"/>
        </w:rPr>
        <w:t>-桩-智慧能源融合发展。</w:t>
      </w:r>
      <w:r>
        <w:rPr>
          <w:rFonts w:hint="eastAsia"/>
          <w:highlight w:val="none"/>
          <w:lang w:eastAsia="zh-CN"/>
        </w:rPr>
        <w:t>探索</w:t>
      </w:r>
      <w:r>
        <w:rPr>
          <w:rFonts w:hint="eastAsia"/>
          <w:highlight w:val="none"/>
        </w:rPr>
        <w:t>开展</w:t>
      </w:r>
      <w:r>
        <w:rPr>
          <w:highlight w:val="none"/>
        </w:rPr>
        <w:t>V2G、虚拟电厂、储能互动等新模式示范应用</w:t>
      </w:r>
      <w:r>
        <w:rPr>
          <w:rFonts w:hint="eastAsia"/>
          <w:highlight w:val="none"/>
        </w:rPr>
        <w:t>。建立综合能源服务站，将信息化、数字化融入到充电桩的建设中，综合运行政策和经济性手段，采用合同能源管理、分时共享等模式，提高电网调峰和安全响应能力。</w:t>
      </w:r>
      <w:r>
        <w:rPr>
          <w:highlight w:val="none"/>
        </w:rPr>
        <w:t>鼓励“光储充放”（分布式光伏-储能系统-充放电）多功能综合一体站建设</w:t>
      </w:r>
      <w:r>
        <w:rPr>
          <w:rFonts w:hint="eastAsia"/>
          <w:highlight w:val="none"/>
        </w:rPr>
        <w:t>，</w:t>
      </w:r>
      <w:r>
        <w:rPr>
          <w:highlight w:val="none"/>
        </w:rPr>
        <w:t>提升可再生能源应用比例。</w:t>
      </w:r>
      <w:r>
        <w:rPr>
          <w:rFonts w:hint="eastAsia"/>
          <w:highlight w:val="none"/>
        </w:rPr>
        <w:t>深化和丰富“互联网+充电基础设施”创新模式，强化与相关平台数据的互联互通，充电基础设施利用率最大化的目的。</w:t>
      </w:r>
    </w:p>
    <w:p>
      <w:pPr>
        <w:pStyle w:val="5"/>
        <w:ind w:firstLine="643"/>
        <w:rPr>
          <w:highlight w:val="none"/>
        </w:rPr>
      </w:pPr>
      <w:bookmarkStart w:id="124" w:name="_Toc24700"/>
      <w:bookmarkStart w:id="125" w:name="_Toc28120"/>
      <w:bookmarkStart w:id="126" w:name="_Toc5741"/>
      <w:r>
        <w:rPr>
          <w:rFonts w:hint="eastAsia"/>
          <w:highlight w:val="none"/>
        </w:rPr>
        <w:t>4.积极拓展丰富充电服务</w:t>
      </w:r>
      <w:bookmarkEnd w:id="124"/>
      <w:bookmarkEnd w:id="125"/>
      <w:bookmarkEnd w:id="126"/>
    </w:p>
    <w:p>
      <w:pPr>
        <w:ind w:firstLine="640"/>
        <w:rPr>
          <w:highlight w:val="none"/>
        </w:rPr>
      </w:pPr>
      <w:r>
        <w:rPr>
          <w:rFonts w:hint="eastAsia"/>
          <w:highlight w:val="none"/>
        </w:rPr>
        <w:t>坚持市场化发展方向，加强多方合作，以商业模式创新不断丰富和完善充电服务。鼓励基础设施运营商围绕用户需求，提供充电导航、状态查询、充电预约、能源及分布式能源管理、车辆及充电基础设施远程运营及维护管理、费用结算等服务，并拓展旅游景点及酒店预约等增值业务，提升用户体验和运营效率。鼓励老旧小区周边建设分时共享充电车位，按照“谁投资、谁受益”的原则引导小区街道、物业和运营商进行资源分配。鼓励商业模式创新，推广众筹、分时共享和租赁等商业模式，积极拓展广告投放、公益宣传等增值服务。</w:t>
      </w:r>
    </w:p>
    <w:p>
      <w:pPr>
        <w:pStyle w:val="4"/>
        <w:ind w:firstLine="643"/>
        <w:rPr>
          <w:rFonts w:ascii="Times New Roman" w:hAnsi="Times New Roman"/>
          <w:highlight w:val="none"/>
          <w:shd w:val="clear" w:color="auto" w:fill="FFFFFF"/>
        </w:rPr>
      </w:pPr>
      <w:bookmarkStart w:id="127" w:name="_Toc66354687"/>
      <w:bookmarkStart w:id="128" w:name="_Toc7393"/>
      <w:bookmarkStart w:id="129" w:name="_Toc22307"/>
      <w:r>
        <w:rPr>
          <w:rFonts w:hint="eastAsia" w:ascii="Times New Roman" w:hAnsi="Times New Roman"/>
          <w:highlight w:val="none"/>
        </w:rPr>
        <w:t>（三）</w:t>
      </w:r>
      <w:bookmarkEnd w:id="127"/>
      <w:r>
        <w:rPr>
          <w:rFonts w:hint="eastAsia" w:ascii="Times New Roman" w:hAnsi="Times New Roman"/>
          <w:highlight w:val="none"/>
          <w:shd w:val="clear" w:color="auto" w:fill="FFFFFF"/>
        </w:rPr>
        <w:t>提高充电设施利用效率</w:t>
      </w:r>
      <w:bookmarkEnd w:id="128"/>
      <w:bookmarkEnd w:id="129"/>
    </w:p>
    <w:p>
      <w:pPr>
        <w:pStyle w:val="5"/>
        <w:ind w:firstLine="643"/>
        <w:rPr>
          <w:highlight w:val="none"/>
        </w:rPr>
      </w:pPr>
      <w:bookmarkStart w:id="130" w:name="_Toc66354688"/>
      <w:bookmarkStart w:id="131" w:name="_Toc65252702"/>
      <w:bookmarkStart w:id="132" w:name="_Toc23813"/>
      <w:bookmarkStart w:id="133" w:name="_Toc25084"/>
      <w:bookmarkStart w:id="134" w:name="_Toc11823"/>
      <w:r>
        <w:rPr>
          <w:rFonts w:hint="eastAsia"/>
          <w:highlight w:val="none"/>
        </w:rPr>
        <w:t>1.加快实现充电标准统一</w:t>
      </w:r>
      <w:bookmarkEnd w:id="130"/>
      <w:bookmarkEnd w:id="131"/>
      <w:bookmarkEnd w:id="132"/>
      <w:bookmarkEnd w:id="133"/>
      <w:bookmarkEnd w:id="134"/>
    </w:p>
    <w:p>
      <w:pPr>
        <w:ind w:firstLine="640"/>
        <w:rPr>
          <w:highlight w:val="none"/>
        </w:rPr>
      </w:pPr>
      <w:r>
        <w:rPr>
          <w:rFonts w:hint="eastAsia"/>
          <w:highlight w:val="none"/>
        </w:rPr>
        <w:t>积极推进充电标准统一化，加快大功率充电标准推广应用，确保充电设备兼容互通，</w:t>
      </w:r>
      <w:r>
        <w:rPr>
          <w:rFonts w:hint="eastAsia"/>
          <w:highlight w:val="none"/>
          <w:lang w:eastAsia="zh-CN"/>
        </w:rPr>
        <w:t>实施</w:t>
      </w:r>
      <w:r>
        <w:rPr>
          <w:rFonts w:hint="eastAsia"/>
          <w:highlight w:val="none"/>
        </w:rPr>
        <w:t>充电设备产品标准、充电场所安全管理规范等相关标准，确保充电的安全性、规范性。</w:t>
      </w:r>
      <w:r>
        <w:rPr>
          <w:rFonts w:hint="eastAsia"/>
          <w:highlight w:val="none"/>
          <w:lang w:eastAsia="zh-CN"/>
        </w:rPr>
        <w:t>严格落实充（换）电站建设过程中的消防审批、验收等流程监管，对</w:t>
      </w:r>
      <w:r>
        <w:rPr>
          <w:rFonts w:hint="eastAsia"/>
          <w:highlight w:val="none"/>
        </w:rPr>
        <w:t>已建成的充电设施应当在规定时限内完成改造，确保符合国家标准和行业标准要求。严格规范充电设施准入标准，特别是严格的电池和电池管理系统体系，加强充电设施运营商的监督管理。规范自用充电基础设施建设审批流程，杜绝企业和个人私自建设自用充电桩。</w:t>
      </w:r>
    </w:p>
    <w:p>
      <w:pPr>
        <w:pStyle w:val="5"/>
        <w:ind w:firstLine="643"/>
        <w:rPr>
          <w:highlight w:val="none"/>
        </w:rPr>
      </w:pPr>
      <w:bookmarkStart w:id="135" w:name="_Toc640"/>
      <w:bookmarkStart w:id="136" w:name="_Toc19903"/>
      <w:bookmarkStart w:id="137" w:name="_Toc66354689"/>
      <w:bookmarkStart w:id="138" w:name="_Toc4866"/>
      <w:bookmarkStart w:id="139" w:name="_Toc65252703"/>
      <w:r>
        <w:rPr>
          <w:rFonts w:hint="eastAsia"/>
          <w:highlight w:val="none"/>
        </w:rPr>
        <w:t>2.加强充电关键技术应用</w:t>
      </w:r>
      <w:bookmarkEnd w:id="135"/>
      <w:bookmarkEnd w:id="136"/>
      <w:bookmarkEnd w:id="137"/>
      <w:bookmarkEnd w:id="138"/>
      <w:bookmarkEnd w:id="139"/>
    </w:p>
    <w:p>
      <w:pPr>
        <w:ind w:firstLine="640"/>
        <w:rPr>
          <w:rFonts w:hint="eastAsia"/>
          <w:highlight w:val="none"/>
        </w:rPr>
      </w:pPr>
      <w:r>
        <w:rPr>
          <w:rFonts w:hint="eastAsia"/>
          <w:highlight w:val="none"/>
        </w:rPr>
        <w:t>推进充电服务从单一乘用车转向重卡、物流</w:t>
      </w:r>
      <w:r>
        <w:rPr>
          <w:rFonts w:hint="eastAsia"/>
          <w:highlight w:val="none"/>
          <w:lang w:eastAsia="zh-CN"/>
        </w:rPr>
        <w:t>配送</w:t>
      </w:r>
      <w:r>
        <w:rPr>
          <w:rFonts w:hint="eastAsia"/>
          <w:highlight w:val="none"/>
        </w:rPr>
        <w:t>车</w:t>
      </w:r>
      <w:r>
        <w:rPr>
          <w:rFonts w:hint="eastAsia"/>
          <w:highlight w:val="none"/>
          <w:lang w:eastAsia="zh-CN"/>
        </w:rPr>
        <w:t>辆</w:t>
      </w:r>
      <w:r>
        <w:rPr>
          <w:rFonts w:hint="eastAsia"/>
          <w:highlight w:val="none"/>
        </w:rPr>
        <w:t>等专用车，多种类、差异化充电演进。探索充电设施与智能电网、风光+储能等融合发展，增加光伏、储能等新能源接入充换电站，加强“光储充放”新型充换电站技术试点应用，提高可再生能源应用比例，打造绿色高效的充电网络。加块推进综合充电服务站建设和应用。</w:t>
      </w: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p>
      <w:pPr>
        <w:pStyle w:val="2"/>
        <w:rPr>
          <w:rFonts w:hint="eastAsia"/>
          <w:highlight w:val="none"/>
        </w:rPr>
      </w:pPr>
    </w:p>
    <w:tbl>
      <w:tblPr>
        <w:tblStyle w:val="16"/>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8522" w:type="dxa"/>
          </w:tcPr>
          <w:p>
            <w:pPr>
              <w:keepNext w:val="0"/>
              <w:keepLines w:val="0"/>
              <w:suppressLineNumbers w:val="0"/>
              <w:spacing w:before="0" w:beforeAutospacing="0" w:after="0" w:afterAutospacing="0"/>
              <w:ind w:left="0" w:right="0" w:firstLine="0" w:firstLineChars="0"/>
              <w:jc w:val="center"/>
              <w:outlineLvl w:val="3"/>
              <w:rPr>
                <w:rFonts w:hint="default" w:cs="Times New Roman" w:eastAsiaTheme="minorEastAsia"/>
                <w:b/>
                <w:bCs/>
                <w:sz w:val="24"/>
                <w:highlight w:val="none"/>
              </w:rPr>
            </w:pPr>
            <w:r>
              <w:rPr>
                <w:rFonts w:hint="eastAsia" w:cs="Times New Roman" w:eastAsiaTheme="minorEastAsia"/>
                <w:b/>
                <w:bCs/>
                <w:sz w:val="28"/>
                <w:szCs w:val="24"/>
                <w:highlight w:val="none"/>
              </w:rPr>
              <w:t>专栏</w:t>
            </w:r>
            <w:r>
              <w:rPr>
                <w:rFonts w:hint="eastAsia" w:cs="Times New Roman" w:eastAsiaTheme="minorEastAsia"/>
                <w:b/>
                <w:bCs/>
                <w:sz w:val="28"/>
                <w:szCs w:val="24"/>
                <w:highlight w:val="none"/>
                <w:lang w:val="en-US" w:eastAsia="zh-CN"/>
              </w:rPr>
              <w:t>4</w:t>
            </w:r>
            <w:r>
              <w:rPr>
                <w:rFonts w:hint="eastAsia" w:cs="Times New Roman" w:eastAsiaTheme="minorEastAsia"/>
                <w:b/>
                <w:bCs/>
                <w:sz w:val="28"/>
                <w:szCs w:val="24"/>
                <w:highlight w:val="none"/>
              </w:rPr>
              <w:t>打造未来低碳充换电站</w:t>
            </w:r>
          </w:p>
          <w:p>
            <w:pPr>
              <w:keepNext w:val="0"/>
              <w:keepLines w:val="0"/>
              <w:suppressLineNumbers w:val="0"/>
              <w:spacing w:before="0" w:beforeAutospacing="0" w:after="0" w:afterAutospacing="0" w:line="360" w:lineRule="auto"/>
              <w:ind w:left="0" w:right="0" w:firstLine="482"/>
              <w:outlineLvl w:val="3"/>
              <w:rPr>
                <w:rFonts w:hint="default" w:eastAsiaTheme="minorEastAsia"/>
                <w:sz w:val="24"/>
                <w:szCs w:val="24"/>
                <w:highlight w:val="none"/>
              </w:rPr>
            </w:pPr>
            <w:r>
              <w:rPr>
                <w:rFonts w:hint="eastAsia" w:eastAsiaTheme="minorEastAsia"/>
                <w:b/>
                <w:bCs/>
                <w:sz w:val="24"/>
                <w:szCs w:val="24"/>
                <w:highlight w:val="none"/>
              </w:rPr>
              <w:t>建立多能互补的充电站。</w:t>
            </w:r>
            <w:r>
              <w:rPr>
                <w:rFonts w:hint="eastAsia" w:eastAsiaTheme="minorEastAsia"/>
                <w:sz w:val="24"/>
                <w:szCs w:val="24"/>
                <w:highlight w:val="none"/>
              </w:rPr>
              <w:t>通过屋顶光伏、雨棚光伏和光伏幕墙发电，建立电动汽车及新能源与电网融合平台，有效转化风光储充换、多能互补、源网荷互动等技术成果，集风、光、储多能互补应用于一体，实现了站内分布式能源自发自用、余量电能上网，放大了多能互补效应，有效降低站内用电成本，全面提高充换电站运营效率。</w:t>
            </w:r>
          </w:p>
          <w:p>
            <w:pPr>
              <w:keepNext w:val="0"/>
              <w:keepLines w:val="0"/>
              <w:suppressLineNumbers w:val="0"/>
              <w:spacing w:before="0" w:beforeAutospacing="0" w:after="0" w:afterAutospacing="0" w:line="360" w:lineRule="auto"/>
              <w:ind w:left="0" w:right="0" w:firstLine="482"/>
              <w:outlineLvl w:val="3"/>
              <w:rPr>
                <w:rFonts w:hint="default"/>
                <w:highlight w:val="none"/>
              </w:rPr>
            </w:pPr>
            <w:r>
              <w:rPr>
                <w:rFonts w:hint="eastAsia" w:eastAsiaTheme="minorEastAsia"/>
                <w:b/>
                <w:bCs/>
                <w:sz w:val="24"/>
                <w:szCs w:val="24"/>
                <w:highlight w:val="none"/>
              </w:rPr>
              <w:t>加大示范推广力度。</w:t>
            </w:r>
            <w:r>
              <w:rPr>
                <w:rFonts w:hint="eastAsia" w:eastAsiaTheme="minorEastAsia"/>
                <w:sz w:val="24"/>
                <w:szCs w:val="24"/>
                <w:highlight w:val="none"/>
              </w:rPr>
              <w:t>优先选择公交车、出租车、物流</w:t>
            </w:r>
            <w:r>
              <w:rPr>
                <w:rFonts w:hint="eastAsia" w:eastAsiaTheme="minorEastAsia"/>
                <w:sz w:val="24"/>
                <w:szCs w:val="24"/>
                <w:highlight w:val="none"/>
                <w:lang w:eastAsia="zh-CN"/>
              </w:rPr>
              <w:t>配送</w:t>
            </w:r>
            <w:r>
              <w:rPr>
                <w:rFonts w:hint="eastAsia" w:eastAsiaTheme="minorEastAsia"/>
                <w:sz w:val="24"/>
                <w:szCs w:val="24"/>
                <w:highlight w:val="none"/>
              </w:rPr>
              <w:t>等公共服务领域电动汽车，在其停车场站配建低碳充换电站，可以根据实际配建情况纳入节能减排考核奖励范围。</w:t>
            </w:r>
          </w:p>
        </w:tc>
      </w:tr>
    </w:tbl>
    <w:p>
      <w:pPr>
        <w:pStyle w:val="5"/>
        <w:ind w:firstLine="643"/>
        <w:rPr>
          <w:highlight w:val="none"/>
        </w:rPr>
      </w:pPr>
      <w:bookmarkStart w:id="140" w:name="_Toc66354690"/>
      <w:bookmarkStart w:id="141" w:name="_Toc65252704"/>
      <w:bookmarkStart w:id="142" w:name="_Toc24077"/>
      <w:bookmarkStart w:id="143" w:name="_Toc16339"/>
      <w:bookmarkStart w:id="144" w:name="_Toc31505"/>
      <w:r>
        <w:rPr>
          <w:rFonts w:hint="eastAsia"/>
          <w:highlight w:val="none"/>
        </w:rPr>
        <w:t>3.</w:t>
      </w:r>
      <w:bookmarkEnd w:id="140"/>
      <w:bookmarkEnd w:id="141"/>
      <w:r>
        <w:rPr>
          <w:rFonts w:hint="eastAsia"/>
          <w:highlight w:val="none"/>
          <w:lang w:eastAsia="zh-CN"/>
        </w:rPr>
        <w:t>推进</w:t>
      </w:r>
      <w:r>
        <w:rPr>
          <w:rFonts w:hint="eastAsia"/>
          <w:highlight w:val="none"/>
        </w:rPr>
        <w:t>智能有序充电发展</w:t>
      </w:r>
      <w:bookmarkEnd w:id="142"/>
      <w:bookmarkEnd w:id="143"/>
      <w:bookmarkEnd w:id="144"/>
    </w:p>
    <w:p>
      <w:pPr>
        <w:ind w:firstLine="640"/>
        <w:rPr>
          <w:highlight w:val="none"/>
        </w:rPr>
      </w:pPr>
      <w:r>
        <w:rPr>
          <w:rFonts w:hint="eastAsia"/>
          <w:highlight w:val="none"/>
        </w:rPr>
        <w:t>加强数字赋能，实现智能有序充电，提高电网调峰和安全应急响应能力。</w:t>
      </w:r>
      <w:r>
        <w:rPr>
          <w:rFonts w:hint="eastAsia" w:ascii="仿宋_GB2312" w:hAnsi="仿宋_GB2312" w:eastAsia="仿宋_GB2312" w:cs="仿宋_GB2312"/>
          <w:sz w:val="32"/>
          <w:szCs w:val="32"/>
        </w:rPr>
        <w:t>充电基础设施安装智能电表，将电网</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用户双侧通信接口接入充电基础设施信息管理平台，分析电力供需形势，调整实时电费。</w:t>
      </w:r>
      <w:r>
        <w:rPr>
          <w:rFonts w:hint="eastAsia"/>
          <w:highlight w:val="none"/>
        </w:rPr>
        <w:t>通过加装能源路由器和能源控制器，实现对充电桩充电时间和充电功率的远程智能有序控制，达到削峰填谷的作用</w:t>
      </w:r>
      <w:r>
        <w:rPr>
          <w:rFonts w:hint="eastAsia"/>
          <w:highlight w:val="none"/>
          <w:lang w:eastAsia="zh-CN"/>
        </w:rPr>
        <w:t>，</w:t>
      </w:r>
      <w:r>
        <w:rPr>
          <w:rFonts w:hint="eastAsia" w:ascii="仿宋_GB2312" w:hAnsi="仿宋_GB2312" w:eastAsia="仿宋_GB2312" w:cs="仿宋_GB2312"/>
          <w:sz w:val="32"/>
          <w:szCs w:val="32"/>
        </w:rPr>
        <w:t>提高电网运行效率及充电基础设施利用率</w:t>
      </w:r>
      <w:r>
        <w:rPr>
          <w:rFonts w:hint="eastAsia"/>
          <w:highlight w:val="none"/>
        </w:rPr>
        <w:t>。“十四五”期间，新增公共充电桩和随车配送自用充电桩应100%具备智能充电功能，加快既有充电桩的智能化改造，</w:t>
      </w:r>
      <w:r>
        <w:rPr>
          <w:rFonts w:hint="eastAsia"/>
          <w:highlight w:val="none"/>
          <w:lang w:eastAsia="zh-CN"/>
        </w:rPr>
        <w:t>改造比例达</w:t>
      </w:r>
      <w:r>
        <w:rPr>
          <w:rFonts w:hint="eastAsia"/>
          <w:highlight w:val="none"/>
          <w:lang w:val="en-US" w:eastAsia="zh-CN"/>
        </w:rPr>
        <w:t>25%以上</w:t>
      </w:r>
      <w:r>
        <w:rPr>
          <w:rFonts w:hint="eastAsia"/>
          <w:highlight w:val="none"/>
        </w:rPr>
        <w:t>，进一步提高充电设施利用率。</w:t>
      </w:r>
      <w:bookmarkStart w:id="145" w:name="_Toc66354691"/>
    </w:p>
    <w:p>
      <w:pPr>
        <w:pStyle w:val="5"/>
        <w:ind w:firstLine="643"/>
        <w:rPr>
          <w:highlight w:val="none"/>
        </w:rPr>
      </w:pPr>
      <w:bookmarkStart w:id="146" w:name="_Toc16899"/>
      <w:bookmarkStart w:id="147" w:name="_Toc32455"/>
      <w:bookmarkStart w:id="148" w:name="_Toc21945"/>
      <w:r>
        <w:rPr>
          <w:rFonts w:hint="eastAsia"/>
          <w:highlight w:val="none"/>
        </w:rPr>
        <w:t>4.探索可持续商业模式</w:t>
      </w:r>
      <w:bookmarkEnd w:id="145"/>
      <w:bookmarkEnd w:id="146"/>
      <w:bookmarkEnd w:id="147"/>
      <w:bookmarkEnd w:id="148"/>
    </w:p>
    <w:p>
      <w:pPr>
        <w:ind w:firstLine="640"/>
        <w:rPr>
          <w:rFonts w:hint="eastAsia"/>
          <w:highlight w:val="none"/>
        </w:rPr>
      </w:pPr>
      <w:r>
        <w:rPr>
          <w:rFonts w:hint="eastAsia"/>
          <w:highlight w:val="none"/>
        </w:rPr>
        <w:t>结合智慧城市的建设，不断优化充电设施布局。充分挖掘“充电+停车”、“充电+商业”、“充电+出行服务”、“充电+车辆服务”等可持续的商业模式。坚持市场化发展方向，探索创新经营模式，鼓励充电场站与商业地产相结合，建设停车充电一体化服务设施，提升公共场所充电服务能力，拓展增值服务。</w:t>
      </w:r>
    </w:p>
    <w:tbl>
      <w:tblPr>
        <w:tblStyle w:val="16"/>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8522"/>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8522" w:type="dxa"/>
          </w:tcPr>
          <w:p>
            <w:pPr>
              <w:keepNext w:val="0"/>
              <w:keepLines w:val="0"/>
              <w:suppressLineNumbers w:val="0"/>
              <w:spacing w:before="0" w:beforeAutospacing="0" w:after="0" w:afterAutospacing="0" w:line="360" w:lineRule="auto"/>
              <w:ind w:left="0" w:right="0" w:firstLine="560" w:firstLineChars="0"/>
              <w:jc w:val="center"/>
              <w:outlineLvl w:val="3"/>
              <w:rPr>
                <w:rFonts w:hint="default" w:cs="Times New Roman" w:eastAsiaTheme="minorEastAsia"/>
                <w:b/>
                <w:bCs/>
                <w:sz w:val="24"/>
                <w:highlight w:val="none"/>
              </w:rPr>
            </w:pPr>
            <w:r>
              <w:rPr>
                <w:rFonts w:hint="eastAsia" w:cs="Times New Roman" w:eastAsiaTheme="minorEastAsia"/>
                <w:b/>
                <w:bCs/>
                <w:sz w:val="28"/>
                <w:szCs w:val="24"/>
                <w:highlight w:val="none"/>
              </w:rPr>
              <w:t>专栏</w:t>
            </w:r>
            <w:r>
              <w:rPr>
                <w:rFonts w:hint="eastAsia" w:cs="Times New Roman" w:eastAsiaTheme="minorEastAsia"/>
                <w:b/>
                <w:bCs/>
                <w:sz w:val="28"/>
                <w:szCs w:val="24"/>
                <w:highlight w:val="none"/>
                <w:lang w:val="en-US" w:eastAsia="zh-CN"/>
              </w:rPr>
              <w:t>5</w:t>
            </w:r>
            <w:r>
              <w:rPr>
                <w:rFonts w:hint="eastAsia" w:cs="Times New Roman" w:eastAsiaTheme="minorEastAsia"/>
                <w:b/>
                <w:bCs/>
                <w:sz w:val="28"/>
                <w:szCs w:val="24"/>
                <w:highlight w:val="none"/>
              </w:rPr>
              <w:t>政府和社会资本合作建设工程</w:t>
            </w:r>
          </w:p>
          <w:p>
            <w:pPr>
              <w:keepNext w:val="0"/>
              <w:keepLines w:val="0"/>
              <w:suppressLineNumbers w:val="0"/>
              <w:spacing w:before="0" w:beforeAutospacing="0" w:after="0" w:afterAutospacing="0" w:line="360" w:lineRule="auto"/>
              <w:ind w:left="0" w:right="0" w:firstLine="560" w:firstLineChars="0"/>
              <w:jc w:val="left"/>
              <w:outlineLvl w:val="3"/>
              <w:rPr>
                <w:rFonts w:hint="default" w:eastAsiaTheme="minorEastAsia"/>
                <w:sz w:val="24"/>
                <w:szCs w:val="24"/>
                <w:highlight w:val="none"/>
              </w:rPr>
            </w:pPr>
            <w:r>
              <w:rPr>
                <w:rFonts w:hint="eastAsia" w:eastAsiaTheme="minorEastAsia"/>
                <w:b/>
                <w:bCs/>
                <w:sz w:val="24"/>
                <w:szCs w:val="24"/>
                <w:highlight w:val="none"/>
              </w:rPr>
              <w:t>加快构建充电桩投融资政策体系。</w:t>
            </w:r>
            <w:r>
              <w:rPr>
                <w:rFonts w:hint="eastAsia" w:eastAsiaTheme="minorEastAsia"/>
                <w:sz w:val="24"/>
                <w:szCs w:val="24"/>
                <w:highlight w:val="none"/>
              </w:rPr>
              <w:t>建立充电基础设施建设积极性政策体系，通过加大财政补贴、政府和社会资本合作（PPP，</w:t>
            </w:r>
            <w:r>
              <w:rPr>
                <w:rFonts w:hint="default" w:eastAsiaTheme="minorEastAsia"/>
                <w:sz w:val="24"/>
                <w:szCs w:val="24"/>
                <w:highlight w:val="none"/>
              </w:rPr>
              <w:t>Public Private Partnership</w:t>
            </w:r>
            <w:r>
              <w:rPr>
                <w:rFonts w:hint="eastAsia" w:eastAsiaTheme="minorEastAsia"/>
                <w:sz w:val="24"/>
                <w:szCs w:val="24"/>
                <w:highlight w:val="none"/>
              </w:rPr>
              <w:t>）PPP等方式，充分发挥市场主导作用，有效整合公交、出租车场站以及社会公共停车场等各类公共资源，为社会资本参与充电基础设施建设运营创造条件。</w:t>
            </w:r>
          </w:p>
          <w:p>
            <w:pPr>
              <w:keepNext w:val="0"/>
              <w:keepLines w:val="0"/>
              <w:suppressLineNumbers w:val="0"/>
              <w:spacing w:before="0" w:beforeAutospacing="0" w:after="0" w:afterAutospacing="0" w:line="360" w:lineRule="auto"/>
              <w:ind w:left="0" w:right="0" w:firstLine="560" w:firstLineChars="0"/>
              <w:jc w:val="left"/>
              <w:outlineLvl w:val="3"/>
              <w:rPr>
                <w:rFonts w:hint="default" w:eastAsia="黑体" w:cs="Times New Roman"/>
                <w:bCs/>
                <w:sz w:val="24"/>
                <w:highlight w:val="none"/>
              </w:rPr>
            </w:pPr>
            <w:r>
              <w:rPr>
                <w:rFonts w:hint="eastAsia" w:eastAsiaTheme="minorEastAsia"/>
                <w:b/>
                <w:bCs/>
                <w:sz w:val="24"/>
                <w:szCs w:val="24"/>
                <w:highlight w:val="none"/>
              </w:rPr>
              <w:t>积极推进政府和社会资本合作。</w:t>
            </w:r>
            <w:r>
              <w:rPr>
                <w:rFonts w:hint="eastAsia" w:eastAsiaTheme="minorEastAsia"/>
                <w:sz w:val="24"/>
                <w:szCs w:val="24"/>
                <w:highlight w:val="none"/>
              </w:rPr>
              <w:t>高标准确定一批充电基础设施建设对象，优先支持基础条件好、充电桩建设运营成熟的运营商。通过特许经营、购买服务等多种方式，吸引各类投资主体建设运营公共服务领域充电基础设施、城乡公共充电网络及智能服务平台。</w:t>
            </w:r>
          </w:p>
        </w:tc>
      </w:tr>
    </w:tbl>
    <w:p>
      <w:pPr>
        <w:ind w:firstLine="0" w:firstLineChars="0"/>
        <w:rPr>
          <w:highlight w:val="none"/>
        </w:rPr>
      </w:pPr>
    </w:p>
    <w:p>
      <w:pPr>
        <w:pStyle w:val="4"/>
        <w:ind w:firstLine="643"/>
        <w:rPr>
          <w:rFonts w:ascii="Times New Roman" w:hAnsi="Times New Roman"/>
          <w:highlight w:val="none"/>
        </w:rPr>
      </w:pPr>
      <w:bookmarkStart w:id="149" w:name="_Toc66354692"/>
      <w:bookmarkStart w:id="150" w:name="_Toc29779"/>
      <w:bookmarkStart w:id="151" w:name="_Toc22591"/>
      <w:r>
        <w:rPr>
          <w:rFonts w:hint="eastAsia" w:ascii="Times New Roman" w:hAnsi="Times New Roman"/>
          <w:highlight w:val="none"/>
        </w:rPr>
        <w:t>（四）</w:t>
      </w:r>
      <w:bookmarkEnd w:id="149"/>
      <w:r>
        <w:rPr>
          <w:rFonts w:hint="eastAsia" w:ascii="Times New Roman" w:hAnsi="Times New Roman"/>
          <w:highlight w:val="none"/>
        </w:rPr>
        <w:t>提升服务保障水平</w:t>
      </w:r>
      <w:bookmarkEnd w:id="150"/>
      <w:bookmarkEnd w:id="151"/>
    </w:p>
    <w:bookmarkEnd w:id="112"/>
    <w:p>
      <w:pPr>
        <w:pStyle w:val="5"/>
        <w:ind w:firstLine="643"/>
        <w:rPr>
          <w:highlight w:val="none"/>
        </w:rPr>
      </w:pPr>
      <w:bookmarkStart w:id="152" w:name="_Toc23300"/>
      <w:bookmarkStart w:id="153" w:name="_Toc65252699"/>
      <w:bookmarkStart w:id="154" w:name="_Toc66354693"/>
      <w:bookmarkStart w:id="155" w:name="_Toc1590"/>
      <w:bookmarkStart w:id="156" w:name="_Toc18833"/>
      <w:r>
        <w:rPr>
          <w:rFonts w:hint="eastAsia"/>
          <w:highlight w:val="none"/>
        </w:rPr>
        <w:t>1.加强配套电网建设</w:t>
      </w:r>
      <w:bookmarkEnd w:id="152"/>
      <w:bookmarkEnd w:id="153"/>
      <w:bookmarkEnd w:id="154"/>
      <w:bookmarkEnd w:id="155"/>
      <w:bookmarkEnd w:id="156"/>
    </w:p>
    <w:p>
      <w:pPr>
        <w:ind w:firstLine="640"/>
        <w:rPr>
          <w:highlight w:val="none"/>
        </w:rPr>
      </w:pPr>
      <w:r>
        <w:rPr>
          <w:rFonts w:hint="eastAsia"/>
          <w:highlight w:val="none"/>
        </w:rPr>
        <w:t>做好充电基础设施的建设</w:t>
      </w:r>
      <w:r>
        <w:rPr>
          <w:rFonts w:hint="eastAsia"/>
          <w:highlight w:val="none"/>
          <w:lang w:eastAsia="zh-CN"/>
        </w:rPr>
        <w:t>涉及的电网建设改造</w:t>
      </w:r>
      <w:r>
        <w:rPr>
          <w:rFonts w:hint="eastAsia"/>
          <w:highlight w:val="none"/>
        </w:rPr>
        <w:t>与电网规划的衔接，</w:t>
      </w:r>
      <w:r>
        <w:rPr>
          <w:rFonts w:hint="eastAsia"/>
          <w:highlight w:val="none"/>
          <w:lang w:eastAsia="zh-CN"/>
        </w:rPr>
        <w:t>加大用地保障、廊道通行等方面政策支持。</w:t>
      </w:r>
      <w:r>
        <w:rPr>
          <w:rFonts w:hint="eastAsia"/>
          <w:highlight w:val="none"/>
        </w:rPr>
        <w:t>提高新建住宅小区配电站房及电力通道配置标准，按照“就近接入”的原则，对新建公共领域充换电站做好配套电网接入服务</w:t>
      </w:r>
      <w:r>
        <w:rPr>
          <w:rFonts w:hint="eastAsia"/>
          <w:highlight w:val="none"/>
          <w:lang w:eastAsia="zh-CN"/>
        </w:rPr>
        <w:t>，</w:t>
      </w:r>
      <w:r>
        <w:rPr>
          <w:rFonts w:hint="eastAsia"/>
          <w:highlight w:val="none"/>
        </w:rPr>
        <w:t>推进老旧小区改造电力设施配套。推动电网企业加快电网建设与改造升级，加大充电设施配套电网建设投入，加强充电基础设施配套电网改造工作，确保电力供应满足充电设施运营需求</w:t>
      </w:r>
      <w:r>
        <w:rPr>
          <w:rFonts w:hint="eastAsia"/>
          <w:highlight w:val="none"/>
          <w:lang w:eastAsia="zh-CN"/>
        </w:rPr>
        <w:t>。</w:t>
      </w:r>
      <w:r>
        <w:rPr>
          <w:rFonts w:hint="eastAsia"/>
          <w:highlight w:val="none"/>
        </w:rPr>
        <w:t>结合“最多跑一次”改革，为充电桩基础设施接入电网提供便利条件。</w:t>
      </w:r>
    </w:p>
    <w:p>
      <w:pPr>
        <w:pStyle w:val="5"/>
        <w:ind w:firstLine="643"/>
        <w:rPr>
          <w:highlight w:val="none"/>
        </w:rPr>
      </w:pPr>
      <w:bookmarkStart w:id="157" w:name="_Toc66354694"/>
      <w:bookmarkStart w:id="158" w:name="_Toc65252700"/>
      <w:bookmarkStart w:id="159" w:name="_Toc226"/>
      <w:bookmarkStart w:id="160" w:name="_Toc19994"/>
      <w:bookmarkStart w:id="161" w:name="_Toc11829"/>
      <w:r>
        <w:rPr>
          <w:rFonts w:hint="eastAsia"/>
          <w:highlight w:val="none"/>
        </w:rPr>
        <w:t>2.</w:t>
      </w:r>
      <w:bookmarkEnd w:id="157"/>
      <w:bookmarkEnd w:id="158"/>
      <w:r>
        <w:rPr>
          <w:rFonts w:hint="eastAsia"/>
          <w:highlight w:val="none"/>
        </w:rPr>
        <w:t>探索创新服务模式</w:t>
      </w:r>
      <w:bookmarkEnd w:id="159"/>
      <w:bookmarkEnd w:id="160"/>
      <w:bookmarkEnd w:id="161"/>
    </w:p>
    <w:p>
      <w:pPr>
        <w:ind w:firstLine="640"/>
        <w:rPr>
          <w:highlight w:val="none"/>
        </w:rPr>
      </w:pPr>
      <w:r>
        <w:rPr>
          <w:rFonts w:hint="eastAsia"/>
          <w:highlight w:val="none"/>
        </w:rPr>
        <w:t>探索开展换电模式应用，加快大功率充电、无线充电、机械臂辅助充电等充电的技术应用和设施建设，在电池技术规范化的趋势下，加大换电服务推广力度。按照“整体规划，适度超前”的原则，统筹推进综合供能服务站建设，大力发展智能型充电基础设施。加大协调力度，探索车企深度参与充电运营服务，推动充电运营商与新能源出租车、网约车等企业加强合作，鼓励开展共享换电模式，优化提升充换电服务体验。鼓励公共机构及企业充电设施有序开放，建议将公共机构充电设施配建、开放情况纳入公共机构节能考核内容。</w:t>
      </w:r>
    </w:p>
    <w:p>
      <w:pPr>
        <w:pStyle w:val="5"/>
        <w:ind w:firstLine="643"/>
        <w:rPr>
          <w:highlight w:val="none"/>
        </w:rPr>
      </w:pPr>
      <w:bookmarkStart w:id="162" w:name="_Toc66354695"/>
      <w:bookmarkStart w:id="163" w:name="_Toc24143"/>
      <w:bookmarkStart w:id="164" w:name="_Toc5955"/>
      <w:bookmarkStart w:id="165" w:name="_Toc15952"/>
      <w:r>
        <w:rPr>
          <w:rFonts w:hint="eastAsia"/>
          <w:highlight w:val="none"/>
        </w:rPr>
        <w:t>3.完善配套支持政策</w:t>
      </w:r>
      <w:bookmarkEnd w:id="162"/>
      <w:bookmarkEnd w:id="163"/>
      <w:bookmarkEnd w:id="164"/>
      <w:bookmarkEnd w:id="165"/>
    </w:p>
    <w:p>
      <w:pPr>
        <w:ind w:firstLine="640"/>
        <w:rPr>
          <w:highlight w:val="none"/>
        </w:rPr>
      </w:pPr>
      <w:r>
        <w:rPr>
          <w:rFonts w:hint="eastAsia"/>
          <w:highlight w:val="none"/>
        </w:rPr>
        <w:t>加大充电基础设施建设、运营环节补贴力度，充分发挥政策激励与政策导向作用，从新能源汽车补贴转移到充电基础设施建设补贴，坚持以“充电电量为主、容量为辅”为基准的补贴政策，针对分阶段、分类型制定财政补贴比例和绩效评价奖励标准。完善在城乡结合部、农村地区等地的充电设施建设和运营服务。完善充电基础设施计量、计费、结算等运营服务管理规范，加快建立充电基础设施的道路交通标志体系。</w:t>
      </w:r>
      <w:bookmarkStart w:id="166" w:name="_Toc66354696"/>
      <w:r>
        <w:rPr>
          <w:rFonts w:hint="eastAsia"/>
          <w:highlight w:val="none"/>
        </w:rPr>
        <w:t>加大金融支持力度，鼓励金融机构创新金融产品和保险品种，探索研究设立充电基础设施发展基金，支持实行区域化、领域化整体开发。</w:t>
      </w:r>
    </w:p>
    <w:p>
      <w:pPr>
        <w:pStyle w:val="5"/>
        <w:ind w:firstLine="643"/>
        <w:rPr>
          <w:highlight w:val="none"/>
          <w:shd w:val="clear" w:color="auto" w:fill="FFFFFF"/>
        </w:rPr>
      </w:pPr>
      <w:bookmarkStart w:id="167" w:name="_Toc15063"/>
      <w:bookmarkStart w:id="168" w:name="_Toc23662"/>
      <w:bookmarkStart w:id="169" w:name="_Toc4346"/>
      <w:r>
        <w:rPr>
          <w:rFonts w:hint="eastAsia"/>
          <w:highlight w:val="none"/>
        </w:rPr>
        <w:t>4.规范运营服务体系</w:t>
      </w:r>
      <w:bookmarkEnd w:id="166"/>
      <w:bookmarkEnd w:id="167"/>
      <w:bookmarkEnd w:id="168"/>
      <w:bookmarkEnd w:id="169"/>
    </w:p>
    <w:p>
      <w:pPr>
        <w:ind w:firstLine="640"/>
        <w:rPr>
          <w:highlight w:val="none"/>
        </w:rPr>
      </w:pPr>
      <w:bookmarkStart w:id="170" w:name="_Toc66354697"/>
      <w:r>
        <w:rPr>
          <w:rFonts w:hint="eastAsia"/>
          <w:highlight w:val="none"/>
        </w:rPr>
        <w:t>制定充电基础设施建设规范，修订充电基础设施建设运营管理办法，建立健全充电基础设施运营服务与安全保障体系，加快建立充电基础设施建设项目验收评估考核体系。充分发挥充电智能服务平台作用，实行充电设施运营企业准入退出、财政奖补资金申请等全流程在线监督管理。从制度、设施、人员、管理系统、记录和安全应急六个方面细化运营管理内容，结合企业实际运营管理先进经验和存在的问题，提出普遍适用、适度超前的管理要求。</w:t>
      </w:r>
    </w:p>
    <w:p>
      <w:pPr>
        <w:pStyle w:val="3"/>
        <w:ind w:firstLine="640"/>
        <w:rPr>
          <w:highlight w:val="none"/>
        </w:rPr>
      </w:pPr>
      <w:bookmarkStart w:id="171" w:name="_Toc21629"/>
      <w:bookmarkStart w:id="172" w:name="_Toc2280"/>
      <w:r>
        <w:rPr>
          <w:rFonts w:hint="eastAsia"/>
          <w:highlight w:val="none"/>
        </w:rPr>
        <w:t>五、保障措施</w:t>
      </w:r>
      <w:bookmarkEnd w:id="170"/>
      <w:bookmarkEnd w:id="171"/>
      <w:bookmarkEnd w:id="172"/>
    </w:p>
    <w:p>
      <w:pPr>
        <w:pStyle w:val="4"/>
        <w:ind w:firstLine="643"/>
        <w:rPr>
          <w:rFonts w:ascii="Times New Roman" w:hAnsi="Times New Roman"/>
          <w:highlight w:val="none"/>
        </w:rPr>
      </w:pPr>
      <w:bookmarkStart w:id="173" w:name="_Toc28031"/>
      <w:bookmarkStart w:id="174" w:name="_Toc31737"/>
      <w:bookmarkStart w:id="175" w:name="_Toc66354698"/>
      <w:r>
        <w:rPr>
          <w:rFonts w:ascii="Times New Roman" w:hAnsi="Times New Roman"/>
          <w:highlight w:val="none"/>
        </w:rPr>
        <w:t>（一）加强组织领导</w:t>
      </w:r>
      <w:bookmarkEnd w:id="173"/>
      <w:bookmarkEnd w:id="174"/>
      <w:bookmarkEnd w:id="175"/>
    </w:p>
    <w:p>
      <w:pPr>
        <w:ind w:firstLine="640"/>
        <w:rPr>
          <w:rFonts w:hint="eastAsia"/>
          <w:highlight w:val="none"/>
        </w:rPr>
      </w:pPr>
      <w:r>
        <w:rPr>
          <w:rFonts w:hint="eastAsia"/>
          <w:highlight w:val="none"/>
        </w:rPr>
        <w:t>成立义乌市推进新能源汽车充电基础设</w:t>
      </w:r>
      <w:r>
        <w:rPr>
          <w:rFonts w:hint="eastAsia"/>
          <w:highlight w:val="none"/>
          <w:lang w:eastAsia="zh-CN"/>
        </w:rPr>
        <w:t>施</w:t>
      </w:r>
      <w:r>
        <w:rPr>
          <w:rFonts w:hint="eastAsia"/>
          <w:highlight w:val="none"/>
        </w:rPr>
        <w:t>建设工作专班。领导小组由市政府分管副市长任组长，市府办分管副主任、发改</w:t>
      </w:r>
      <w:r>
        <w:rPr>
          <w:rFonts w:hint="eastAsia"/>
          <w:highlight w:val="none"/>
          <w:lang w:eastAsia="zh-CN"/>
        </w:rPr>
        <w:t>局</w:t>
      </w:r>
      <w:r>
        <w:rPr>
          <w:rFonts w:hint="eastAsia"/>
          <w:highlight w:val="none"/>
        </w:rPr>
        <w:t>主要领导担任副组长，发改局、经信局、科技局、公安局、财政局、</w:t>
      </w:r>
      <w:r>
        <w:rPr>
          <w:rFonts w:hint="eastAsia"/>
          <w:highlight w:val="none"/>
          <w:lang w:eastAsia="zh-CN"/>
        </w:rPr>
        <w:t>建设局</w:t>
      </w:r>
      <w:r>
        <w:rPr>
          <w:rFonts w:hint="eastAsia"/>
          <w:highlight w:val="none"/>
        </w:rPr>
        <w:t>、</w:t>
      </w:r>
      <w:r>
        <w:rPr>
          <w:rFonts w:hint="eastAsia"/>
          <w:highlight w:val="none"/>
          <w:lang w:eastAsia="zh-CN"/>
        </w:rPr>
        <w:t>自然资源和规划局</w:t>
      </w:r>
      <w:r>
        <w:rPr>
          <w:rFonts w:hint="eastAsia"/>
          <w:highlight w:val="none"/>
        </w:rPr>
        <w:t>、交通局、市场监管局、</w:t>
      </w:r>
      <w:r>
        <w:rPr>
          <w:rFonts w:hint="eastAsia"/>
          <w:highlight w:val="none"/>
          <w:lang w:eastAsia="zh-CN"/>
        </w:rPr>
        <w:t>市场发展</w:t>
      </w:r>
      <w:r>
        <w:rPr>
          <w:rFonts w:hint="eastAsia"/>
          <w:highlight w:val="none"/>
        </w:rPr>
        <w:t>委、国资</w:t>
      </w:r>
      <w:r>
        <w:rPr>
          <w:rFonts w:hint="eastAsia"/>
          <w:highlight w:val="none"/>
          <w:lang w:eastAsia="zh-CN"/>
        </w:rPr>
        <w:t>办</w:t>
      </w:r>
      <w:r>
        <w:rPr>
          <w:rFonts w:hint="eastAsia"/>
          <w:highlight w:val="none"/>
        </w:rPr>
        <w:t>、</w:t>
      </w:r>
      <w:r>
        <w:rPr>
          <w:rFonts w:hint="eastAsia"/>
          <w:highlight w:val="none"/>
          <w:lang w:eastAsia="zh-CN"/>
        </w:rPr>
        <w:t>商城集团、</w:t>
      </w:r>
      <w:r>
        <w:rPr>
          <w:rFonts w:hint="eastAsia"/>
          <w:highlight w:val="none"/>
        </w:rPr>
        <w:t>陆港</w:t>
      </w:r>
      <w:r>
        <w:rPr>
          <w:rFonts w:hint="eastAsia"/>
          <w:highlight w:val="none"/>
          <w:lang w:eastAsia="zh-CN"/>
        </w:rPr>
        <w:t>集团、恒风集团公司</w:t>
      </w:r>
      <w:r>
        <w:rPr>
          <w:rFonts w:hint="eastAsia"/>
          <w:highlight w:val="none"/>
        </w:rPr>
        <w:t>和供电公司等单位负责人为成员。领导小组下设办公室（设在发改局），负责新能源汽车推广应用的日常工作。</w:t>
      </w:r>
    </w:p>
    <w:p>
      <w:pPr>
        <w:pStyle w:val="4"/>
        <w:ind w:firstLine="643"/>
        <w:rPr>
          <w:rFonts w:ascii="Times New Roman" w:hAnsi="Times New Roman"/>
          <w:highlight w:val="none"/>
        </w:rPr>
      </w:pPr>
      <w:bookmarkStart w:id="176" w:name="_Toc10186"/>
      <w:bookmarkStart w:id="177" w:name="_Toc66354699"/>
      <w:bookmarkStart w:id="178" w:name="_Toc25017"/>
      <w:r>
        <w:rPr>
          <w:rFonts w:ascii="Times New Roman" w:hAnsi="Times New Roman"/>
          <w:highlight w:val="none"/>
        </w:rPr>
        <w:t>（二）</w:t>
      </w:r>
      <w:r>
        <w:rPr>
          <w:rFonts w:hint="eastAsia" w:ascii="Times New Roman" w:hAnsi="Times New Roman"/>
          <w:highlight w:val="none"/>
        </w:rPr>
        <w:t>强化规划实施</w:t>
      </w:r>
      <w:bookmarkEnd w:id="176"/>
      <w:bookmarkEnd w:id="177"/>
      <w:bookmarkEnd w:id="178"/>
    </w:p>
    <w:p>
      <w:pPr>
        <w:ind w:firstLine="640"/>
        <w:rPr>
          <w:highlight w:val="none"/>
        </w:rPr>
      </w:pPr>
      <w:r>
        <w:rPr>
          <w:rFonts w:hint="eastAsia"/>
          <w:highlight w:val="none"/>
        </w:rPr>
        <w:t>统筹推进充电基础设施发展的责任落实，将充电桩布局规划管理工作作为政府专项工作。明确充电基础设施规划、审批、建设、监督、运营以及平台建立等各环节所涉单位部门的工作职责与工作细则，并做好规划年度监测分析和规划中期、总结评估。积极鼓励充电服务商参与建设充电基础设施建设，同时加强对充电基础设施建设、运营企业的监督管理工作。</w:t>
      </w:r>
    </w:p>
    <w:p>
      <w:pPr>
        <w:pStyle w:val="4"/>
        <w:ind w:firstLine="643"/>
        <w:rPr>
          <w:rFonts w:hint="eastAsia" w:ascii="Times New Roman" w:hAnsi="Times New Roman" w:eastAsia="楷体_GB2312"/>
          <w:highlight w:val="none"/>
          <w:lang w:eastAsia="zh-CN"/>
        </w:rPr>
      </w:pPr>
      <w:bookmarkStart w:id="179" w:name="_Toc14924"/>
      <w:bookmarkStart w:id="180" w:name="_Toc66354700"/>
      <w:bookmarkStart w:id="181" w:name="_Toc869"/>
      <w:r>
        <w:rPr>
          <w:rFonts w:ascii="Times New Roman" w:hAnsi="Times New Roman"/>
          <w:highlight w:val="none"/>
        </w:rPr>
        <w:t>（三）</w:t>
      </w:r>
      <w:r>
        <w:rPr>
          <w:rFonts w:hint="eastAsia" w:ascii="Times New Roman" w:hAnsi="Times New Roman"/>
          <w:highlight w:val="none"/>
        </w:rPr>
        <w:t>完善政策</w:t>
      </w:r>
      <w:bookmarkEnd w:id="179"/>
      <w:bookmarkEnd w:id="180"/>
      <w:r>
        <w:rPr>
          <w:rFonts w:hint="eastAsia" w:ascii="Times New Roman" w:hAnsi="Times New Roman"/>
          <w:highlight w:val="none"/>
          <w:lang w:eastAsia="zh-CN"/>
        </w:rPr>
        <w:t>法规</w:t>
      </w:r>
      <w:bookmarkEnd w:id="181"/>
    </w:p>
    <w:p>
      <w:pPr>
        <w:ind w:firstLine="640"/>
        <w:rPr>
          <w:rFonts w:hint="eastAsia"/>
          <w:szCs w:val="32"/>
          <w:highlight w:val="none"/>
        </w:rPr>
      </w:pPr>
      <w:r>
        <w:rPr>
          <w:rFonts w:hint="eastAsia"/>
          <w:szCs w:val="32"/>
          <w:highlight w:val="none"/>
        </w:rPr>
        <w:t>加大对充电基础设施的补贴力度，针对不同类型的充电基础设施，从电费、税费、运营补贴等方面提供政策扶持，减轻企业投资压力和用户使用经济性。强化对高速公路、乡镇、居住社区等保障型充换电设施的补贴支持和税收优惠力度。建立充电基础设施运营管理评价体系，建立与服务质量挂钩的运营补贴标准，进一步向优质场站倾斜。加强大功率充电、车网互动等示范类设施的补贴力度，促进行业转型升级。加强充电桩计量器具强制检定能力建设，落实检定人员、检定设备等配套资金投入，提升计量检定服务能力。</w:t>
      </w:r>
    </w:p>
    <w:p>
      <w:pPr>
        <w:pStyle w:val="4"/>
        <w:bidi w:val="0"/>
        <w:rPr>
          <w:rFonts w:hint="eastAsia"/>
        </w:rPr>
      </w:pPr>
      <w:bookmarkStart w:id="182" w:name="_Toc18702"/>
      <w:r>
        <w:rPr>
          <w:rFonts w:hint="eastAsia"/>
        </w:rPr>
        <w:t>（四）强化要素保障</w:t>
      </w:r>
      <w:bookmarkEnd w:id="182"/>
    </w:p>
    <w:p>
      <w:pPr>
        <w:pStyle w:val="2"/>
      </w:pPr>
      <w:r>
        <w:rPr>
          <w:rFonts w:hint="eastAsia"/>
        </w:rPr>
        <w:t>落实国家支持充换电基础设施建设的用地政策，</w:t>
      </w:r>
      <w:r>
        <w:rPr>
          <w:rFonts w:hint="eastAsia"/>
          <w:lang w:eastAsia="zh-CN"/>
        </w:rPr>
        <w:t>做好与</w:t>
      </w:r>
      <w:r>
        <w:rPr>
          <w:rFonts w:hint="eastAsia"/>
        </w:rPr>
        <w:t>国土空间规划</w:t>
      </w:r>
      <w:r>
        <w:rPr>
          <w:rFonts w:hint="eastAsia"/>
          <w:lang w:eastAsia="zh-CN"/>
        </w:rPr>
        <w:t>的衔接，</w:t>
      </w:r>
      <w:r>
        <w:rPr>
          <w:rFonts w:hint="eastAsia"/>
        </w:rPr>
        <w:t>充分考虑充换电基础设施建设用地，明确充换电基础设施建设用地要求。鼓励充换电运营企业在已有各类建筑物停车场、公交场站、出租车场站、社会公共停车场、高速公路服务区等场所配建充电基础设施，相关场所业主单位应保证必要的用地</w:t>
      </w:r>
      <w:r>
        <w:rPr>
          <w:rFonts w:hint="eastAsia"/>
          <w:lang w:eastAsia="zh-CN"/>
        </w:rPr>
        <w:t>，</w:t>
      </w:r>
      <w:r>
        <w:rPr>
          <w:rFonts w:hint="eastAsia"/>
        </w:rPr>
        <w:t>并给予租金减免等支持。</w:t>
      </w:r>
    </w:p>
    <w:p>
      <w:pPr>
        <w:pStyle w:val="4"/>
        <w:ind w:firstLine="643"/>
        <w:rPr>
          <w:rFonts w:ascii="Times New Roman" w:hAnsi="Times New Roman"/>
          <w:highlight w:val="none"/>
        </w:rPr>
      </w:pPr>
      <w:bookmarkStart w:id="183" w:name="_Toc66354701"/>
      <w:bookmarkStart w:id="184" w:name="_Toc30671"/>
      <w:bookmarkStart w:id="185" w:name="_Toc18137"/>
      <w:r>
        <w:rPr>
          <w:rFonts w:hint="eastAsia" w:ascii="Times New Roman" w:hAnsi="Times New Roman"/>
          <w:highlight w:val="none"/>
        </w:rPr>
        <w:t>（</w:t>
      </w:r>
      <w:r>
        <w:rPr>
          <w:rFonts w:hint="eastAsia" w:ascii="Times New Roman" w:hAnsi="Times New Roman"/>
          <w:highlight w:val="none"/>
          <w:lang w:eastAsia="zh-CN"/>
        </w:rPr>
        <w:t>五</w:t>
      </w:r>
      <w:r>
        <w:rPr>
          <w:rFonts w:hint="eastAsia" w:ascii="Times New Roman" w:hAnsi="Times New Roman"/>
          <w:highlight w:val="none"/>
        </w:rPr>
        <w:t>）</w:t>
      </w:r>
      <w:bookmarkEnd w:id="183"/>
      <w:bookmarkEnd w:id="184"/>
      <w:r>
        <w:rPr>
          <w:rFonts w:hint="eastAsia" w:ascii="Times New Roman" w:hAnsi="Times New Roman"/>
          <w:highlight w:val="none"/>
        </w:rPr>
        <w:t>加强宣传示范</w:t>
      </w:r>
      <w:bookmarkEnd w:id="185"/>
    </w:p>
    <w:p>
      <w:pPr>
        <w:pStyle w:val="33"/>
        <w:widowControl w:val="0"/>
        <w:ind w:firstLine="640"/>
        <w:rPr>
          <w:rFonts w:ascii="Times New Roman" w:hAnsi="Times New Roman" w:eastAsia="仿宋_GB2312"/>
          <w:szCs w:val="32"/>
          <w:highlight w:val="none"/>
        </w:rPr>
      </w:pPr>
      <w:r>
        <w:rPr>
          <w:rFonts w:hint="eastAsia" w:ascii="Times New Roman" w:hAnsi="Times New Roman"/>
          <w:highlight w:val="none"/>
        </w:rPr>
        <w:t>推进技术研发与试点示范工作。加大示范推广工作，积极开展充电基础设施与智能电网、分布式可再生能源、智能交通融合发展的集成实践活动。选择合适小区开展试点示范工作</w:t>
      </w:r>
      <w:r>
        <w:rPr>
          <w:rFonts w:hint="eastAsia" w:ascii="Times New Roman" w:hAnsi="Times New Roman" w:eastAsia="仿宋_GB2312"/>
          <w:szCs w:val="32"/>
          <w:highlight w:val="none"/>
        </w:rPr>
        <w:t>。</w:t>
      </w:r>
      <w:r>
        <w:rPr>
          <w:rFonts w:hint="eastAsia" w:ascii="Times New Roman" w:hAnsi="Times New Roman"/>
          <w:highlight w:val="none"/>
        </w:rPr>
        <w:t>通过多种媒体形式，加强新能源汽车和充电基础设施各项优惠发展政策、设施规划布局、建设动态等的宣传，充分引导社会各界全面了解电动汽车发展和充电基础设，吸引更多的社会资本投入充电基础设施建设。</w:t>
      </w:r>
    </w:p>
    <w:p>
      <w:pPr>
        <w:pStyle w:val="3"/>
        <w:ind w:firstLine="640"/>
        <w:rPr>
          <w:highlight w:val="none"/>
        </w:rPr>
      </w:pPr>
      <w:bookmarkStart w:id="186" w:name="_Toc6291"/>
      <w:bookmarkStart w:id="187" w:name="_Toc17892"/>
      <w:bookmarkStart w:id="188" w:name="_Toc66354704"/>
      <w:r>
        <w:rPr>
          <w:rFonts w:hint="eastAsia"/>
          <w:highlight w:val="none"/>
        </w:rPr>
        <w:t>六、实施效果</w:t>
      </w:r>
      <w:bookmarkEnd w:id="186"/>
      <w:bookmarkEnd w:id="187"/>
      <w:bookmarkEnd w:id="188"/>
    </w:p>
    <w:p>
      <w:pPr>
        <w:pStyle w:val="4"/>
        <w:ind w:firstLine="643"/>
        <w:rPr>
          <w:rFonts w:ascii="Times New Roman" w:hAnsi="Times New Roman"/>
          <w:highlight w:val="none"/>
        </w:rPr>
      </w:pPr>
      <w:bookmarkStart w:id="189" w:name="_Toc66354705"/>
      <w:bookmarkStart w:id="190" w:name="_Toc23492"/>
      <w:bookmarkStart w:id="191" w:name="_Toc1985"/>
      <w:r>
        <w:rPr>
          <w:rFonts w:hint="eastAsia" w:ascii="Times New Roman" w:hAnsi="Times New Roman"/>
          <w:highlight w:val="none"/>
        </w:rPr>
        <w:t>（一）投资规模测算</w:t>
      </w:r>
      <w:bookmarkEnd w:id="189"/>
      <w:bookmarkEnd w:id="190"/>
      <w:bookmarkEnd w:id="191"/>
    </w:p>
    <w:p>
      <w:pPr>
        <w:ind w:firstLine="0" w:firstLineChars="0"/>
        <w:jc w:val="center"/>
        <w:rPr>
          <w:b/>
          <w:highlight w:val="none"/>
        </w:rPr>
      </w:pPr>
      <w:bookmarkStart w:id="192" w:name="_Toc70336072"/>
      <w:bookmarkStart w:id="193" w:name="_Toc15057"/>
      <w:r>
        <w:rPr>
          <w:rFonts w:hint="eastAsia"/>
          <w:b/>
          <w:highlight w:val="none"/>
        </w:rPr>
        <w:t>表</w:t>
      </w:r>
      <w:r>
        <w:rPr>
          <w:rFonts w:hint="eastAsia" w:cs="Times New Roman"/>
          <w:b/>
          <w:highlight w:val="none"/>
        </w:rPr>
        <w:t>5</w:t>
      </w:r>
      <w:r>
        <w:rPr>
          <w:rFonts w:hint="eastAsia"/>
          <w:b/>
          <w:highlight w:val="none"/>
        </w:rPr>
        <w:t>参考造价水平</w:t>
      </w:r>
      <w:bookmarkEnd w:id="192"/>
      <w:bookmarkEnd w:id="193"/>
    </w:p>
    <w:tbl>
      <w:tblPr>
        <w:tblStyle w:val="16"/>
        <w:tblW w:w="8522"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09"/>
        <w:gridCol w:w="3872"/>
        <w:gridCol w:w="284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09" w:type="dxa"/>
          </w:tcPr>
          <w:p>
            <w:pPr>
              <w:keepNext w:val="0"/>
              <w:keepLines w:val="0"/>
              <w:suppressLineNumbers w:val="0"/>
              <w:spacing w:before="0" w:beforeAutospacing="0" w:after="0" w:afterAutospacing="0"/>
              <w:ind w:left="0" w:right="0" w:firstLine="0" w:firstLineChars="0"/>
              <w:jc w:val="center"/>
              <w:rPr>
                <w:rFonts w:hint="default" w:cs="Times New Roman"/>
                <w:szCs w:val="32"/>
                <w:highlight w:val="none"/>
              </w:rPr>
            </w:pPr>
            <w:r>
              <w:rPr>
                <w:rFonts w:hint="eastAsia" w:cs="Times New Roman"/>
                <w:szCs w:val="32"/>
                <w:highlight w:val="none"/>
              </w:rPr>
              <w:t>序号</w:t>
            </w:r>
          </w:p>
        </w:tc>
        <w:tc>
          <w:tcPr>
            <w:tcW w:w="3872" w:type="dxa"/>
          </w:tcPr>
          <w:p>
            <w:pPr>
              <w:keepNext w:val="0"/>
              <w:keepLines w:val="0"/>
              <w:suppressLineNumbers w:val="0"/>
              <w:spacing w:before="0" w:beforeAutospacing="0" w:after="0" w:afterAutospacing="0"/>
              <w:ind w:left="0" w:right="0" w:firstLine="0" w:firstLineChars="0"/>
              <w:jc w:val="center"/>
              <w:rPr>
                <w:rFonts w:hint="default" w:cs="Times New Roman"/>
                <w:szCs w:val="32"/>
                <w:highlight w:val="none"/>
              </w:rPr>
            </w:pPr>
            <w:r>
              <w:rPr>
                <w:rFonts w:hint="eastAsia" w:cs="Times New Roman"/>
                <w:szCs w:val="32"/>
                <w:highlight w:val="none"/>
              </w:rPr>
              <w:t>类型</w:t>
            </w:r>
          </w:p>
        </w:tc>
        <w:tc>
          <w:tcPr>
            <w:tcW w:w="2841" w:type="dxa"/>
          </w:tcPr>
          <w:p>
            <w:pPr>
              <w:keepNext w:val="0"/>
              <w:keepLines w:val="0"/>
              <w:suppressLineNumbers w:val="0"/>
              <w:spacing w:before="0" w:beforeAutospacing="0" w:after="0" w:afterAutospacing="0"/>
              <w:ind w:left="0" w:right="0" w:firstLine="0" w:firstLineChars="0"/>
              <w:jc w:val="center"/>
              <w:rPr>
                <w:rFonts w:hint="default" w:cs="Times New Roman"/>
                <w:szCs w:val="32"/>
                <w:highlight w:val="none"/>
              </w:rPr>
            </w:pPr>
            <w:r>
              <w:rPr>
                <w:rFonts w:hint="eastAsia" w:cs="Times New Roman"/>
                <w:szCs w:val="32"/>
                <w:highlight w:val="none"/>
              </w:rPr>
              <w:t>造价</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09" w:type="dxa"/>
          </w:tcPr>
          <w:p>
            <w:pPr>
              <w:pStyle w:val="28"/>
              <w:keepNext w:val="0"/>
              <w:keepLines w:val="0"/>
              <w:numPr>
                <w:ilvl w:val="0"/>
                <w:numId w:val="1"/>
              </w:numPr>
              <w:suppressLineNumbers w:val="0"/>
              <w:spacing w:before="0" w:beforeAutospacing="0" w:after="0" w:afterAutospacing="0"/>
              <w:ind w:right="0" w:firstLineChars="0"/>
              <w:jc w:val="center"/>
              <w:rPr>
                <w:rFonts w:hint="default" w:cs="Times New Roman"/>
                <w:szCs w:val="32"/>
                <w:highlight w:val="none"/>
              </w:rPr>
            </w:pPr>
          </w:p>
        </w:tc>
        <w:tc>
          <w:tcPr>
            <w:tcW w:w="3872" w:type="dxa"/>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s="Times New Roman"/>
                <w:szCs w:val="32"/>
                <w:highlight w:val="none"/>
              </w:rPr>
            </w:pPr>
            <w:r>
              <w:rPr>
                <w:rFonts w:hint="eastAsia" w:cs="Times New Roman"/>
                <w:szCs w:val="32"/>
                <w:highlight w:val="none"/>
              </w:rPr>
              <w:t>交流充电桩</w:t>
            </w:r>
          </w:p>
        </w:tc>
        <w:tc>
          <w:tcPr>
            <w:tcW w:w="2841" w:type="dxa"/>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s="Times New Roman"/>
                <w:szCs w:val="32"/>
                <w:highlight w:val="none"/>
              </w:rPr>
            </w:pPr>
            <w:r>
              <w:rPr>
                <w:rFonts w:hint="eastAsia" w:cs="Times New Roman"/>
                <w:szCs w:val="32"/>
                <w:highlight w:val="none"/>
              </w:rPr>
              <w:t>0.8万元/台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09" w:type="dxa"/>
          </w:tcPr>
          <w:p>
            <w:pPr>
              <w:pStyle w:val="28"/>
              <w:keepNext w:val="0"/>
              <w:keepLines w:val="0"/>
              <w:numPr>
                <w:ilvl w:val="0"/>
                <w:numId w:val="1"/>
              </w:numPr>
              <w:suppressLineNumbers w:val="0"/>
              <w:spacing w:before="0" w:beforeAutospacing="0" w:after="0" w:afterAutospacing="0"/>
              <w:ind w:right="0" w:firstLineChars="0"/>
              <w:jc w:val="center"/>
              <w:rPr>
                <w:rFonts w:hint="default" w:cs="Times New Roman"/>
                <w:szCs w:val="32"/>
                <w:highlight w:val="none"/>
              </w:rPr>
            </w:pPr>
          </w:p>
        </w:tc>
        <w:tc>
          <w:tcPr>
            <w:tcW w:w="3872" w:type="dxa"/>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s="Times New Roman"/>
                <w:szCs w:val="32"/>
                <w:highlight w:val="none"/>
              </w:rPr>
            </w:pPr>
            <w:r>
              <w:rPr>
                <w:rFonts w:hint="eastAsia" w:cs="Times New Roman"/>
                <w:szCs w:val="32"/>
                <w:highlight w:val="none"/>
              </w:rPr>
              <w:t>直流充电桩</w:t>
            </w:r>
          </w:p>
        </w:tc>
        <w:tc>
          <w:tcPr>
            <w:tcW w:w="2841" w:type="dxa"/>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s="Times New Roman"/>
                <w:szCs w:val="32"/>
                <w:highlight w:val="none"/>
              </w:rPr>
            </w:pPr>
            <w:r>
              <w:rPr>
                <w:rFonts w:hint="eastAsia" w:cs="Times New Roman"/>
                <w:szCs w:val="32"/>
                <w:highlight w:val="none"/>
              </w:rPr>
              <w:t>10万元/台</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c>
          <w:tcPr>
            <w:tcW w:w="1809" w:type="dxa"/>
          </w:tcPr>
          <w:p>
            <w:pPr>
              <w:pStyle w:val="28"/>
              <w:keepNext w:val="0"/>
              <w:keepLines w:val="0"/>
              <w:numPr>
                <w:ilvl w:val="0"/>
                <w:numId w:val="1"/>
              </w:numPr>
              <w:suppressLineNumbers w:val="0"/>
              <w:spacing w:before="0" w:beforeAutospacing="0" w:after="0" w:afterAutospacing="0"/>
              <w:ind w:right="0" w:firstLineChars="0"/>
              <w:jc w:val="center"/>
              <w:rPr>
                <w:rFonts w:hint="default" w:cs="Times New Roman"/>
                <w:szCs w:val="32"/>
                <w:highlight w:val="none"/>
              </w:rPr>
            </w:pPr>
          </w:p>
        </w:tc>
        <w:tc>
          <w:tcPr>
            <w:tcW w:w="3872" w:type="dxa"/>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s="Times New Roman"/>
                <w:szCs w:val="32"/>
                <w:highlight w:val="none"/>
              </w:rPr>
            </w:pPr>
            <w:r>
              <w:rPr>
                <w:rFonts w:hint="eastAsia" w:cs="Times New Roman"/>
                <w:szCs w:val="32"/>
                <w:highlight w:val="none"/>
              </w:rPr>
              <w:t>公用充电换站</w:t>
            </w:r>
          </w:p>
        </w:tc>
        <w:tc>
          <w:tcPr>
            <w:tcW w:w="2841" w:type="dxa"/>
            <w:vAlign w:val="center"/>
          </w:tcPr>
          <w:p>
            <w:pPr>
              <w:keepNext w:val="0"/>
              <w:keepLines w:val="0"/>
              <w:suppressLineNumbers w:val="0"/>
              <w:adjustRightInd w:val="0"/>
              <w:snapToGrid w:val="0"/>
              <w:spacing w:before="0" w:beforeAutospacing="0" w:after="0" w:afterAutospacing="0"/>
              <w:ind w:left="0" w:right="0" w:firstLine="0" w:firstLineChars="0"/>
              <w:jc w:val="center"/>
              <w:rPr>
                <w:rFonts w:hint="default" w:cs="Times New Roman"/>
                <w:szCs w:val="32"/>
                <w:highlight w:val="none"/>
              </w:rPr>
            </w:pPr>
            <w:r>
              <w:rPr>
                <w:rFonts w:hint="eastAsia" w:cs="Times New Roman"/>
                <w:szCs w:val="32"/>
                <w:highlight w:val="none"/>
              </w:rPr>
              <w:t>250万元/座</w:t>
            </w:r>
          </w:p>
        </w:tc>
      </w:tr>
    </w:tbl>
    <w:p>
      <w:pPr>
        <w:spacing w:line="590" w:lineRule="exact"/>
        <w:ind w:firstLine="640"/>
        <w:rPr>
          <w:szCs w:val="32"/>
          <w:highlight w:val="none"/>
        </w:rPr>
      </w:pPr>
      <w:bookmarkStart w:id="194" w:name="_Toc66354706"/>
      <w:r>
        <w:rPr>
          <w:rFonts w:hint="eastAsia"/>
          <w:szCs w:val="32"/>
          <w:highlight w:val="none"/>
        </w:rPr>
        <w:t>根据现有充换电设施产品制造成本、建设场地条件、</w:t>
      </w:r>
      <w:r>
        <w:rPr>
          <w:rFonts w:hint="eastAsia"/>
          <w:szCs w:val="32"/>
          <w:highlight w:val="none"/>
          <w:lang w:eastAsia="zh-CN"/>
        </w:rPr>
        <w:t>电力</w:t>
      </w:r>
      <w:r>
        <w:rPr>
          <w:rFonts w:hint="eastAsia"/>
          <w:szCs w:val="32"/>
          <w:highlight w:val="none"/>
        </w:rPr>
        <w:t>设施需求等现实状况，</w:t>
      </w:r>
      <w:r>
        <w:rPr>
          <w:rFonts w:hint="eastAsia"/>
          <w:szCs w:val="32"/>
          <w:highlight w:val="none"/>
          <w:lang w:eastAsia="zh-CN"/>
        </w:rPr>
        <w:t>结合新模式、新技术和新产品发展趋势和应用情况，参照已建工程造价水平，</w:t>
      </w:r>
      <w:r>
        <w:rPr>
          <w:szCs w:val="32"/>
          <w:highlight w:val="none"/>
        </w:rPr>
        <w:t>我</w:t>
      </w:r>
      <w:r>
        <w:rPr>
          <w:rFonts w:hint="eastAsia"/>
          <w:szCs w:val="32"/>
          <w:highlight w:val="none"/>
        </w:rPr>
        <w:t>市</w:t>
      </w:r>
      <w:r>
        <w:rPr>
          <w:szCs w:val="32"/>
          <w:highlight w:val="none"/>
        </w:rPr>
        <w:t>“十</w:t>
      </w:r>
      <w:r>
        <w:rPr>
          <w:rFonts w:hint="eastAsia"/>
          <w:szCs w:val="32"/>
          <w:highlight w:val="none"/>
        </w:rPr>
        <w:t>四</w:t>
      </w:r>
      <w:r>
        <w:rPr>
          <w:szCs w:val="32"/>
          <w:highlight w:val="none"/>
        </w:rPr>
        <w:t>五”充电基础设施预计投资</w:t>
      </w:r>
      <w:r>
        <w:rPr>
          <w:rFonts w:hint="eastAsia"/>
          <w:szCs w:val="32"/>
          <w:highlight w:val="none"/>
        </w:rPr>
        <w:t>1.56</w:t>
      </w:r>
      <w:r>
        <w:rPr>
          <w:szCs w:val="32"/>
          <w:highlight w:val="none"/>
        </w:rPr>
        <w:t>亿元</w:t>
      </w:r>
      <w:r>
        <w:rPr>
          <w:rFonts w:hint="eastAsia"/>
          <w:szCs w:val="32"/>
          <w:highlight w:val="none"/>
        </w:rPr>
        <w:t>左右</w:t>
      </w:r>
      <w:r>
        <w:rPr>
          <w:szCs w:val="32"/>
          <w:highlight w:val="none"/>
        </w:rPr>
        <w:t>，其中</w:t>
      </w:r>
      <w:r>
        <w:rPr>
          <w:rFonts w:hint="eastAsia"/>
          <w:szCs w:val="32"/>
          <w:highlight w:val="none"/>
        </w:rPr>
        <w:t>公共领域充换电站</w:t>
      </w:r>
      <w:r>
        <w:rPr>
          <w:szCs w:val="32"/>
          <w:highlight w:val="none"/>
        </w:rPr>
        <w:t>投资约</w:t>
      </w:r>
      <w:r>
        <w:rPr>
          <w:rFonts w:hint="eastAsia"/>
          <w:szCs w:val="32"/>
          <w:highlight w:val="none"/>
        </w:rPr>
        <w:t>5000万</w:t>
      </w:r>
      <w:r>
        <w:rPr>
          <w:szCs w:val="32"/>
          <w:highlight w:val="none"/>
        </w:rPr>
        <w:t>元</w:t>
      </w:r>
      <w:r>
        <w:rPr>
          <w:rFonts w:hint="eastAsia"/>
          <w:szCs w:val="32"/>
          <w:highlight w:val="none"/>
        </w:rPr>
        <w:t>左右</w:t>
      </w:r>
      <w:r>
        <w:rPr>
          <w:szCs w:val="32"/>
          <w:highlight w:val="none"/>
        </w:rPr>
        <w:t>，自用充电桩投资约</w:t>
      </w:r>
      <w:r>
        <w:rPr>
          <w:rFonts w:hint="eastAsia"/>
          <w:szCs w:val="32"/>
          <w:highlight w:val="none"/>
        </w:rPr>
        <w:t>4600万</w:t>
      </w:r>
      <w:r>
        <w:rPr>
          <w:szCs w:val="32"/>
          <w:highlight w:val="none"/>
        </w:rPr>
        <w:t>元</w:t>
      </w:r>
      <w:r>
        <w:rPr>
          <w:rFonts w:hint="eastAsia"/>
          <w:szCs w:val="32"/>
          <w:highlight w:val="none"/>
        </w:rPr>
        <w:t>左右</w:t>
      </w:r>
      <w:r>
        <w:rPr>
          <w:szCs w:val="32"/>
          <w:highlight w:val="none"/>
        </w:rPr>
        <w:t>，</w:t>
      </w:r>
      <w:r>
        <w:rPr>
          <w:rFonts w:hint="eastAsia"/>
          <w:szCs w:val="32"/>
          <w:highlight w:val="none"/>
        </w:rPr>
        <w:t>公共领域</w:t>
      </w:r>
      <w:r>
        <w:rPr>
          <w:szCs w:val="32"/>
          <w:highlight w:val="none"/>
        </w:rPr>
        <w:t>充电桩投资约</w:t>
      </w:r>
      <w:r>
        <w:rPr>
          <w:rFonts w:hint="eastAsia"/>
          <w:szCs w:val="32"/>
          <w:highlight w:val="none"/>
        </w:rPr>
        <w:t>6000万</w:t>
      </w:r>
      <w:r>
        <w:rPr>
          <w:szCs w:val="32"/>
          <w:highlight w:val="none"/>
        </w:rPr>
        <w:t>元</w:t>
      </w:r>
      <w:r>
        <w:rPr>
          <w:rFonts w:hint="eastAsia"/>
          <w:szCs w:val="32"/>
          <w:highlight w:val="none"/>
        </w:rPr>
        <w:t>左右</w:t>
      </w:r>
      <w:r>
        <w:rPr>
          <w:szCs w:val="32"/>
          <w:highlight w:val="none"/>
        </w:rPr>
        <w:t>。</w:t>
      </w:r>
    </w:p>
    <w:p>
      <w:pPr>
        <w:pStyle w:val="4"/>
        <w:ind w:firstLine="643"/>
        <w:rPr>
          <w:rFonts w:ascii="Times New Roman" w:hAnsi="Times New Roman"/>
          <w:highlight w:val="none"/>
        </w:rPr>
      </w:pPr>
      <w:bookmarkStart w:id="195" w:name="_Toc23553"/>
      <w:bookmarkStart w:id="196" w:name="_Toc25756"/>
      <w:r>
        <w:rPr>
          <w:rFonts w:hint="eastAsia" w:ascii="Times New Roman" w:hAnsi="Times New Roman"/>
          <w:highlight w:val="none"/>
        </w:rPr>
        <w:t>（二）社会效益分析</w:t>
      </w:r>
      <w:bookmarkEnd w:id="194"/>
      <w:bookmarkEnd w:id="195"/>
      <w:bookmarkEnd w:id="196"/>
    </w:p>
    <w:p>
      <w:pPr>
        <w:ind w:firstLine="624"/>
        <w:rPr>
          <w:spacing w:val="-4"/>
          <w:szCs w:val="32"/>
          <w:highlight w:val="none"/>
        </w:rPr>
      </w:pPr>
      <w:r>
        <w:rPr>
          <w:spacing w:val="-4"/>
          <w:szCs w:val="32"/>
          <w:highlight w:val="none"/>
        </w:rPr>
        <w:t>本规划实施后，可满足</w:t>
      </w:r>
      <w:r>
        <w:rPr>
          <w:rFonts w:hint="eastAsia"/>
          <w:spacing w:val="-4"/>
          <w:szCs w:val="32"/>
          <w:highlight w:val="none"/>
          <w:lang w:val="en-US" w:eastAsia="zh-CN"/>
        </w:rPr>
        <w:t>5</w:t>
      </w:r>
      <w:r>
        <w:rPr>
          <w:spacing w:val="-4"/>
          <w:szCs w:val="32"/>
          <w:highlight w:val="none"/>
        </w:rPr>
        <w:t>万辆以上电动汽车充电需求。按平均每度电支持电动汽车行驶</w:t>
      </w:r>
      <w:r>
        <w:rPr>
          <w:rFonts w:hint="eastAsia"/>
          <w:spacing w:val="-4"/>
          <w:szCs w:val="32"/>
          <w:highlight w:val="none"/>
        </w:rPr>
        <w:t>8</w:t>
      </w:r>
      <w:r>
        <w:rPr>
          <w:spacing w:val="-4"/>
          <w:szCs w:val="32"/>
          <w:highlight w:val="none"/>
        </w:rPr>
        <w:t>公里，车辆年行驶里程平均</w:t>
      </w:r>
      <w:r>
        <w:rPr>
          <w:rFonts w:hint="eastAsia"/>
          <w:spacing w:val="-4"/>
          <w:szCs w:val="32"/>
          <w:highlight w:val="none"/>
        </w:rPr>
        <w:t>2</w:t>
      </w:r>
      <w:r>
        <w:rPr>
          <w:spacing w:val="-4"/>
          <w:szCs w:val="32"/>
          <w:highlight w:val="none"/>
        </w:rPr>
        <w:t>万公里测算，年充电量可达</w:t>
      </w:r>
      <w:r>
        <w:rPr>
          <w:rFonts w:hint="eastAsia"/>
          <w:spacing w:val="-4"/>
          <w:szCs w:val="32"/>
          <w:highlight w:val="none"/>
          <w:lang w:val="en-US" w:eastAsia="zh-CN"/>
        </w:rPr>
        <w:t>1.4</w:t>
      </w:r>
      <w:r>
        <w:rPr>
          <w:spacing w:val="-4"/>
          <w:szCs w:val="32"/>
          <w:highlight w:val="none"/>
        </w:rPr>
        <w:t>亿千瓦时，相当于年替代燃油</w:t>
      </w:r>
      <w:r>
        <w:rPr>
          <w:rFonts w:hint="eastAsia"/>
          <w:spacing w:val="-4"/>
          <w:szCs w:val="32"/>
          <w:highlight w:val="none"/>
        </w:rPr>
        <w:t>0.</w:t>
      </w:r>
      <w:r>
        <w:rPr>
          <w:rFonts w:hint="eastAsia"/>
          <w:spacing w:val="-4"/>
          <w:szCs w:val="32"/>
          <w:highlight w:val="none"/>
          <w:lang w:val="en-US" w:eastAsia="zh-CN"/>
        </w:rPr>
        <w:t>65</w:t>
      </w:r>
      <w:r>
        <w:rPr>
          <w:spacing w:val="-4"/>
          <w:szCs w:val="32"/>
          <w:highlight w:val="none"/>
        </w:rPr>
        <w:t>万吨，可有效减少二氧化碳和污染物排放</w:t>
      </w:r>
      <w:r>
        <w:rPr>
          <w:rFonts w:hint="eastAsia"/>
          <w:spacing w:val="-4"/>
          <w:szCs w:val="32"/>
          <w:highlight w:val="none"/>
          <w:lang w:val="en-US" w:eastAsia="zh-CN"/>
        </w:rPr>
        <w:t>6</w:t>
      </w:r>
      <w:r>
        <w:rPr>
          <w:rFonts w:hint="eastAsia"/>
          <w:spacing w:val="-4"/>
          <w:szCs w:val="32"/>
          <w:highlight w:val="none"/>
        </w:rPr>
        <w:t>万吨</w:t>
      </w:r>
      <w:r>
        <w:rPr>
          <w:spacing w:val="-4"/>
          <w:szCs w:val="32"/>
          <w:highlight w:val="none"/>
        </w:rPr>
        <w:t>。</w:t>
      </w:r>
    </w:p>
    <w:p>
      <w:pPr>
        <w:pStyle w:val="3"/>
        <w:ind w:firstLine="640"/>
        <w:rPr>
          <w:rFonts w:hint="eastAsia" w:eastAsia="黑体"/>
          <w:highlight w:val="none"/>
          <w:lang w:eastAsia="zh-CN"/>
        </w:rPr>
      </w:pPr>
      <w:bookmarkStart w:id="197" w:name="_Toc25868"/>
      <w:r>
        <w:rPr>
          <w:rFonts w:hint="eastAsia"/>
          <w:highlight w:val="none"/>
          <w:lang w:eastAsia="zh-CN"/>
        </w:rPr>
        <w:t>七</w:t>
      </w:r>
      <w:r>
        <w:rPr>
          <w:rFonts w:hint="eastAsia"/>
          <w:highlight w:val="none"/>
        </w:rPr>
        <w:t>、</w:t>
      </w:r>
      <w:r>
        <w:rPr>
          <w:rFonts w:hint="eastAsia"/>
          <w:highlight w:val="none"/>
          <w:lang w:eastAsia="zh-CN"/>
        </w:rPr>
        <w:t>近期建设计划</w:t>
      </w:r>
      <w:bookmarkEnd w:id="197"/>
    </w:p>
    <w:p>
      <w:pPr>
        <w:keepNext w:val="0"/>
        <w:keepLines w:val="0"/>
        <w:widowControl w:val="0"/>
        <w:suppressLineNumbers w:val="0"/>
        <w:spacing w:before="0" w:beforeAutospacing="0" w:after="0" w:afterAutospacing="0" w:line="580" w:lineRule="exact"/>
        <w:ind w:left="0" w:right="0" w:firstLine="640" w:firstLineChars="200"/>
        <w:jc w:val="both"/>
        <w:rPr>
          <w:rFonts w:hint="default" w:ascii="Times New Roman" w:hAnsi="Times New Roman" w:cs="Times New Roman"/>
          <w:lang w:val="en-US"/>
        </w:rPr>
      </w:pPr>
      <w:r>
        <w:rPr>
          <w:rFonts w:hint="eastAsia" w:ascii="Times New Roman" w:hAnsi="Times New Roman" w:eastAsia="仿宋_GB2312" w:cs="仿宋_GB2312"/>
          <w:kern w:val="2"/>
          <w:sz w:val="32"/>
          <w:szCs w:val="22"/>
          <w:lang w:val="en-US" w:eastAsia="zh-CN" w:bidi="ar"/>
        </w:rPr>
        <w:t>根据新能源车增长速度和停车场建设进度，提出</w:t>
      </w:r>
      <w:r>
        <w:rPr>
          <w:rFonts w:hint="default" w:ascii="Times New Roman" w:hAnsi="Times New Roman" w:eastAsia="仿宋_GB2312" w:cs="Times New Roman"/>
          <w:kern w:val="2"/>
          <w:sz w:val="32"/>
          <w:szCs w:val="22"/>
          <w:lang w:val="en-US" w:eastAsia="zh-CN" w:bidi="ar"/>
        </w:rPr>
        <w:t>2021-2025</w:t>
      </w:r>
      <w:r>
        <w:rPr>
          <w:rFonts w:hint="eastAsia" w:ascii="Times New Roman" w:hAnsi="Times New Roman" w:eastAsia="仿宋_GB2312" w:cs="仿宋_GB2312"/>
          <w:kern w:val="2"/>
          <w:sz w:val="32"/>
          <w:szCs w:val="22"/>
          <w:lang w:val="en-US" w:eastAsia="zh-CN" w:bidi="ar"/>
        </w:rPr>
        <w:t>年期间建设进度合理建议，如下：</w:t>
      </w:r>
    </w:p>
    <w:p>
      <w:pPr>
        <w:keepNext w:val="0"/>
        <w:keepLines w:val="0"/>
        <w:widowControl w:val="0"/>
        <w:suppressLineNumbers w:val="0"/>
        <w:spacing w:before="0" w:beforeAutospacing="0" w:after="0" w:afterAutospacing="0" w:line="580" w:lineRule="exact"/>
        <w:ind w:left="0" w:right="0" w:firstLine="640" w:firstLineChars="200"/>
        <w:jc w:val="both"/>
        <w:rPr>
          <w:rFonts w:hint="default" w:ascii="Times New Roman" w:hAnsi="Times New Roman" w:eastAsia="仿宋_GB2312" w:cs="Times New Roman"/>
          <w:b w:val="0"/>
          <w:bCs/>
          <w:lang w:val="en-US" w:eastAsia="zh-CN"/>
        </w:rPr>
      </w:pPr>
      <w:r>
        <w:rPr>
          <w:rFonts w:hint="default" w:ascii="Times New Roman" w:hAnsi="Times New Roman" w:eastAsia="仿宋_GB2312" w:cs="Times New Roman"/>
          <w:b/>
          <w:bCs w:val="0"/>
          <w:kern w:val="2"/>
          <w:sz w:val="32"/>
          <w:szCs w:val="22"/>
          <w:lang w:val="en-US" w:eastAsia="zh-CN" w:bidi="ar"/>
        </w:rPr>
        <w:t>2022-2023</w:t>
      </w:r>
      <w:r>
        <w:rPr>
          <w:rFonts w:hint="eastAsia" w:ascii="Times New Roman" w:hAnsi="Times New Roman" w:eastAsia="仿宋_GB2312" w:cs="仿宋_GB2312"/>
          <w:b/>
          <w:bCs w:val="0"/>
          <w:kern w:val="2"/>
          <w:sz w:val="32"/>
          <w:szCs w:val="22"/>
          <w:lang w:val="en-US" w:eastAsia="zh-CN" w:bidi="ar"/>
        </w:rPr>
        <w:t>年：</w:t>
      </w:r>
      <w:r>
        <w:rPr>
          <w:rFonts w:hint="eastAsia"/>
          <w:b w:val="0"/>
          <w:bCs/>
          <w:highlight w:val="none"/>
        </w:rPr>
        <w:t>各镇街</w:t>
      </w:r>
      <w:r>
        <w:rPr>
          <w:rFonts w:hint="eastAsia"/>
          <w:b w:val="0"/>
          <w:bCs/>
          <w:highlight w:val="none"/>
          <w:lang w:eastAsia="zh-CN"/>
        </w:rPr>
        <w:t>完成充电基础设施</w:t>
      </w:r>
      <w:r>
        <w:rPr>
          <w:rFonts w:hint="eastAsia"/>
          <w:b w:val="0"/>
          <w:bCs/>
          <w:highlight w:val="none"/>
        </w:rPr>
        <w:t>建设</w:t>
      </w:r>
      <w:r>
        <w:rPr>
          <w:rFonts w:hint="eastAsia"/>
          <w:b w:val="0"/>
          <w:bCs/>
          <w:highlight w:val="none"/>
          <w:lang w:eastAsia="zh-CN"/>
        </w:rPr>
        <w:t>总</w:t>
      </w:r>
      <w:r>
        <w:rPr>
          <w:rFonts w:hint="eastAsia"/>
          <w:b w:val="0"/>
          <w:bCs/>
          <w:highlight w:val="none"/>
        </w:rPr>
        <w:t>目标</w:t>
      </w:r>
      <w:r>
        <w:rPr>
          <w:rFonts w:hint="eastAsia"/>
          <w:b w:val="0"/>
          <w:bCs/>
          <w:highlight w:val="none"/>
          <w:lang w:eastAsia="zh-CN"/>
        </w:rPr>
        <w:t>的</w:t>
      </w:r>
      <w:r>
        <w:rPr>
          <w:rFonts w:hint="eastAsia"/>
          <w:b w:val="0"/>
          <w:bCs/>
          <w:highlight w:val="none"/>
          <w:lang w:val="en-US" w:eastAsia="zh-CN"/>
        </w:rPr>
        <w:t>60%以上。</w:t>
      </w:r>
    </w:p>
    <w:p>
      <w:pPr>
        <w:keepNext w:val="0"/>
        <w:keepLines w:val="0"/>
        <w:widowControl w:val="0"/>
        <w:suppressLineNumbers w:val="0"/>
        <w:spacing w:before="0" w:beforeAutospacing="0" w:after="0" w:afterAutospacing="0" w:line="580" w:lineRule="exact"/>
        <w:ind w:left="0" w:right="0" w:firstLine="640" w:firstLineChars="200"/>
        <w:jc w:val="both"/>
        <w:rPr>
          <w:rFonts w:hint="default" w:ascii="Times New Roman" w:hAnsi="Times New Roman" w:cs="Times New Roman"/>
          <w:b/>
          <w:bCs w:val="0"/>
          <w:lang w:val="en-US"/>
        </w:rPr>
      </w:pPr>
      <w:r>
        <w:rPr>
          <w:rFonts w:hint="default" w:ascii="Times New Roman" w:hAnsi="Times New Roman" w:eastAsia="仿宋_GB2312" w:cs="Times New Roman"/>
          <w:b/>
          <w:bCs w:val="0"/>
          <w:kern w:val="2"/>
          <w:sz w:val="32"/>
          <w:szCs w:val="22"/>
          <w:lang w:val="en-US" w:eastAsia="zh-CN" w:bidi="ar"/>
        </w:rPr>
        <w:t>2024-2025</w:t>
      </w:r>
      <w:r>
        <w:rPr>
          <w:rFonts w:hint="eastAsia" w:ascii="Times New Roman" w:hAnsi="Times New Roman" w:eastAsia="仿宋_GB2312" w:cs="仿宋_GB2312"/>
          <w:b/>
          <w:bCs w:val="0"/>
          <w:kern w:val="2"/>
          <w:sz w:val="32"/>
          <w:szCs w:val="22"/>
          <w:lang w:val="en-US" w:eastAsia="zh-CN" w:bidi="ar"/>
        </w:rPr>
        <w:t>年：</w:t>
      </w:r>
      <w:r>
        <w:rPr>
          <w:rFonts w:hint="eastAsia"/>
          <w:b w:val="0"/>
          <w:bCs/>
          <w:highlight w:val="none"/>
        </w:rPr>
        <w:t>各镇街</w:t>
      </w:r>
      <w:r>
        <w:rPr>
          <w:rFonts w:hint="eastAsia"/>
          <w:b w:val="0"/>
          <w:bCs/>
          <w:highlight w:val="none"/>
          <w:lang w:eastAsia="zh-CN"/>
        </w:rPr>
        <w:t>完成充电基础设施</w:t>
      </w:r>
      <w:r>
        <w:rPr>
          <w:rFonts w:hint="eastAsia"/>
          <w:b w:val="0"/>
          <w:bCs/>
          <w:highlight w:val="none"/>
        </w:rPr>
        <w:t>建设</w:t>
      </w:r>
      <w:r>
        <w:rPr>
          <w:rFonts w:hint="eastAsia"/>
          <w:b w:val="0"/>
          <w:bCs/>
          <w:highlight w:val="none"/>
          <w:lang w:val="en-US" w:eastAsia="zh-CN"/>
        </w:rPr>
        <w:t>。</w:t>
      </w:r>
    </w:p>
    <w:p>
      <w:r>
        <w:br w:type="page"/>
      </w:r>
    </w:p>
    <w:p>
      <w:pPr>
        <w:pStyle w:val="3"/>
        <w:bidi w:val="0"/>
        <w:rPr>
          <w:rFonts w:hint="default"/>
          <w:b/>
          <w:bCs w:val="0"/>
          <w:lang w:val="en-US" w:eastAsia="zh-CN"/>
        </w:rPr>
      </w:pPr>
      <w:bookmarkStart w:id="198" w:name="_Toc14107"/>
      <w:bookmarkStart w:id="199" w:name="_Toc65252729"/>
      <w:bookmarkStart w:id="200" w:name="_Toc70336076"/>
      <w:bookmarkStart w:id="201" w:name="_Toc14463"/>
      <w:bookmarkStart w:id="202" w:name="_Toc66354710"/>
      <w:bookmarkStart w:id="203" w:name="_Toc3761"/>
      <w:r>
        <w:rPr>
          <w:rFonts w:hint="eastAsia"/>
          <w:b/>
          <w:bCs w:val="0"/>
          <w:lang w:val="en-US" w:eastAsia="zh-CN"/>
        </w:rPr>
        <w:t>附件</w:t>
      </w:r>
      <w:bookmarkEnd w:id="198"/>
      <w:r>
        <w:rPr>
          <w:rFonts w:hint="eastAsia"/>
          <w:b/>
          <w:bCs w:val="0"/>
          <w:lang w:val="en-US" w:eastAsia="zh-CN"/>
        </w:rPr>
        <w:t>1</w:t>
      </w:r>
    </w:p>
    <w:bookmarkEnd w:id="199"/>
    <w:bookmarkEnd w:id="200"/>
    <w:bookmarkEnd w:id="201"/>
    <w:bookmarkEnd w:id="202"/>
    <w:bookmarkEnd w:id="203"/>
    <w:p>
      <w:pPr>
        <w:keepNext w:val="0"/>
        <w:keepLines w:val="0"/>
        <w:widowControl w:val="0"/>
        <w:suppressLineNumbers w:val="0"/>
        <w:spacing w:before="0" w:beforeAutospacing="0" w:after="0" w:afterAutospacing="0" w:line="580" w:lineRule="exact"/>
        <w:ind w:left="0" w:right="0" w:firstLine="640" w:firstLineChars="200"/>
        <w:jc w:val="both"/>
        <w:rPr>
          <w:rFonts w:hint="default" w:ascii="Times New Roman" w:hAnsi="Times New Roman" w:cs="Times New Roman"/>
          <w:b/>
          <w:bCs w:val="0"/>
          <w:lang w:val="en-US"/>
        </w:rPr>
      </w:pPr>
      <w:r>
        <w:rPr>
          <w:rFonts w:hint="eastAsia" w:cs="仿宋_GB2312"/>
          <w:b/>
          <w:bCs w:val="0"/>
          <w:kern w:val="2"/>
          <w:sz w:val="32"/>
          <w:szCs w:val="22"/>
          <w:lang w:val="en-US" w:eastAsia="zh-CN" w:bidi="ar"/>
        </w:rPr>
        <w:t>附</w:t>
      </w:r>
      <w:r>
        <w:rPr>
          <w:rFonts w:hint="eastAsia" w:ascii="Times New Roman" w:hAnsi="Times New Roman" w:eastAsia="仿宋_GB2312" w:cs="仿宋_GB2312"/>
          <w:b/>
          <w:bCs w:val="0"/>
          <w:kern w:val="2"/>
          <w:sz w:val="32"/>
          <w:szCs w:val="22"/>
          <w:lang w:val="en-US" w:eastAsia="zh-CN" w:bidi="ar"/>
        </w:rPr>
        <w:t>表</w:t>
      </w:r>
      <w:r>
        <w:rPr>
          <w:rFonts w:hint="eastAsia" w:cs="Times New Roman"/>
          <w:b/>
          <w:bCs w:val="0"/>
          <w:kern w:val="2"/>
          <w:sz w:val="32"/>
          <w:szCs w:val="22"/>
          <w:lang w:val="en-US" w:eastAsia="zh-CN" w:bidi="ar"/>
        </w:rPr>
        <w:t>1</w:t>
      </w:r>
      <w:r>
        <w:rPr>
          <w:rFonts w:hint="default" w:ascii="Times New Roman" w:hAnsi="Times New Roman" w:eastAsia="仿宋_GB2312" w:cs="Times New Roman"/>
          <w:b/>
          <w:bCs w:val="0"/>
          <w:kern w:val="2"/>
          <w:sz w:val="32"/>
          <w:szCs w:val="22"/>
          <w:lang w:val="en-US" w:eastAsia="zh-CN" w:bidi="ar"/>
        </w:rPr>
        <w:t xml:space="preserve"> </w:t>
      </w:r>
      <w:r>
        <w:rPr>
          <w:rFonts w:hint="eastAsia" w:ascii="Times New Roman" w:hAnsi="Times New Roman" w:eastAsia="仿宋_GB2312" w:cs="仿宋_GB2312"/>
          <w:b/>
          <w:bCs w:val="0"/>
          <w:kern w:val="2"/>
          <w:sz w:val="32"/>
          <w:szCs w:val="22"/>
          <w:lang w:val="en-US" w:eastAsia="zh-CN" w:bidi="ar"/>
        </w:rPr>
        <w:t>义乌市电动车</w:t>
      </w:r>
      <w:r>
        <w:rPr>
          <w:rFonts w:hint="eastAsia" w:cs="仿宋_GB2312"/>
          <w:b/>
          <w:bCs w:val="0"/>
          <w:kern w:val="2"/>
          <w:sz w:val="32"/>
          <w:szCs w:val="22"/>
          <w:lang w:val="en-US" w:eastAsia="zh-CN" w:bidi="ar"/>
        </w:rPr>
        <w:t>保有量预测</w:t>
      </w:r>
      <w:r>
        <w:rPr>
          <w:rFonts w:hint="default" w:ascii="Times New Roman" w:hAnsi="Times New Roman" w:eastAsia="仿宋_GB2312" w:cs="Times New Roman"/>
          <w:b/>
          <w:bCs w:val="0"/>
          <w:kern w:val="2"/>
          <w:sz w:val="32"/>
          <w:szCs w:val="22"/>
          <w:lang w:val="en-US" w:eastAsia="zh-CN" w:bidi="ar"/>
        </w:rPr>
        <w:t xml:space="preserve">   </w:t>
      </w:r>
      <w:r>
        <w:rPr>
          <w:rFonts w:hint="eastAsia" w:ascii="Times New Roman" w:hAnsi="Times New Roman" w:eastAsia="仿宋_GB2312" w:cs="仿宋_GB2312"/>
          <w:b/>
          <w:bCs w:val="0"/>
          <w:kern w:val="2"/>
          <w:sz w:val="32"/>
          <w:szCs w:val="22"/>
          <w:lang w:val="en-US" w:eastAsia="zh-CN" w:bidi="ar"/>
        </w:rPr>
        <w:t>单位：辆</w:t>
      </w:r>
    </w:p>
    <w:tbl>
      <w:tblPr>
        <w:tblStyle w:val="16"/>
        <w:tblW w:w="9223" w:type="dxa"/>
        <w:tblInd w:w="-3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629"/>
        <w:gridCol w:w="1038"/>
        <w:gridCol w:w="1179"/>
        <w:gridCol w:w="1038"/>
        <w:gridCol w:w="1031"/>
        <w:gridCol w:w="1182"/>
        <w:gridCol w:w="1037"/>
        <w:gridCol w:w="10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243" w:hRule="atLeast"/>
        </w:trPr>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280" w:lineRule="atLeast"/>
              <w:ind w:left="0" w:right="0" w:firstLine="0" w:firstLineChars="0"/>
              <w:jc w:val="center"/>
              <w:rPr>
                <w:rFonts w:hint="default" w:ascii="Times New Roman" w:hAnsi="Times New Roman" w:cs="Times New Roman"/>
                <w:sz w:val="24"/>
                <w:szCs w:val="21"/>
                <w:lang w:val="en-US"/>
              </w:rPr>
            </w:pPr>
            <w:r>
              <w:rPr>
                <w:rFonts w:hint="eastAsia" w:ascii="Times New Roman" w:hAnsi="Times New Roman" w:eastAsia="仿宋_GB2312" w:cs="仿宋_GB2312"/>
                <w:kern w:val="2"/>
                <w:sz w:val="24"/>
                <w:szCs w:val="21"/>
                <w:lang w:val="en-US" w:eastAsia="zh-CN" w:bidi="ar"/>
              </w:rPr>
              <w:t>车辆类型</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280" w:lineRule="atLeast"/>
              <w:ind w:left="0" w:right="0" w:firstLine="0" w:firstLineChars="0"/>
              <w:jc w:val="center"/>
              <w:rPr>
                <w:rFonts w:hint="default" w:ascii="Times New Roman" w:hAnsi="Times New Roman" w:cs="Times New Roman"/>
                <w:sz w:val="24"/>
                <w:szCs w:val="21"/>
                <w:lang w:val="en-US"/>
              </w:rPr>
            </w:pPr>
            <w:r>
              <w:rPr>
                <w:rFonts w:hint="default" w:ascii="Times New Roman" w:hAnsi="Times New Roman" w:eastAsia="仿宋_GB2312" w:cs="Times New Roman"/>
                <w:kern w:val="2"/>
                <w:sz w:val="24"/>
                <w:szCs w:val="21"/>
                <w:lang w:val="en-US" w:eastAsia="zh-CN" w:bidi="ar"/>
              </w:rPr>
              <w:t>2020</w:t>
            </w:r>
            <w:r>
              <w:rPr>
                <w:rFonts w:hint="eastAsia" w:ascii="Times New Roman" w:hAnsi="Times New Roman" w:eastAsia="仿宋_GB2312" w:cs="仿宋_GB2312"/>
                <w:kern w:val="2"/>
                <w:sz w:val="24"/>
                <w:szCs w:val="21"/>
                <w:lang w:val="en-US" w:eastAsia="zh-CN" w:bidi="ar"/>
              </w:rPr>
              <w:t>年现状</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280" w:lineRule="atLeast"/>
              <w:ind w:left="0" w:right="0" w:firstLine="0" w:firstLineChars="0"/>
              <w:jc w:val="center"/>
              <w:rPr>
                <w:rFonts w:hint="default" w:ascii="Times New Roman" w:hAnsi="Times New Roman" w:cs="Times New Roman"/>
                <w:sz w:val="24"/>
                <w:szCs w:val="21"/>
                <w:lang w:val="en-US"/>
              </w:rPr>
            </w:pPr>
            <w:r>
              <w:rPr>
                <w:rFonts w:hint="default" w:ascii="Times New Roman" w:hAnsi="Times New Roman" w:eastAsia="仿宋_GB2312" w:cs="Times New Roman"/>
                <w:kern w:val="2"/>
                <w:sz w:val="24"/>
                <w:szCs w:val="21"/>
                <w:lang w:val="en-US" w:eastAsia="zh-CN" w:bidi="ar"/>
              </w:rPr>
              <w:t>2021</w:t>
            </w:r>
            <w:r>
              <w:rPr>
                <w:rFonts w:hint="eastAsia" w:ascii="Times New Roman" w:hAnsi="Times New Roman" w:eastAsia="仿宋_GB2312" w:cs="仿宋_GB2312"/>
                <w:kern w:val="2"/>
                <w:sz w:val="24"/>
                <w:szCs w:val="21"/>
                <w:lang w:val="en-US" w:eastAsia="zh-CN" w:bidi="ar"/>
              </w:rPr>
              <w:t>年增量</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280" w:lineRule="atLeast"/>
              <w:ind w:left="0" w:right="0" w:firstLine="0" w:firstLineChars="0"/>
              <w:jc w:val="center"/>
              <w:rPr>
                <w:rFonts w:hint="default" w:ascii="Times New Roman" w:hAnsi="Times New Roman" w:cs="Times New Roman"/>
                <w:sz w:val="24"/>
                <w:szCs w:val="21"/>
                <w:lang w:val="en-US"/>
              </w:rPr>
            </w:pPr>
            <w:r>
              <w:rPr>
                <w:rFonts w:hint="default" w:ascii="Times New Roman" w:hAnsi="Times New Roman" w:eastAsia="仿宋_GB2312" w:cs="Times New Roman"/>
                <w:kern w:val="2"/>
                <w:sz w:val="24"/>
                <w:szCs w:val="21"/>
                <w:lang w:val="en-US" w:eastAsia="zh-CN" w:bidi="ar"/>
              </w:rPr>
              <w:t>2022</w:t>
            </w:r>
            <w:r>
              <w:rPr>
                <w:rFonts w:hint="eastAsia" w:ascii="Times New Roman" w:hAnsi="Times New Roman" w:eastAsia="仿宋_GB2312" w:cs="仿宋_GB2312"/>
                <w:kern w:val="2"/>
                <w:sz w:val="24"/>
                <w:szCs w:val="21"/>
                <w:lang w:val="en-US" w:eastAsia="zh-CN" w:bidi="ar"/>
              </w:rPr>
              <w:t>年增量</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280" w:lineRule="atLeast"/>
              <w:ind w:left="0" w:right="0" w:firstLine="0" w:firstLineChars="0"/>
              <w:jc w:val="center"/>
              <w:rPr>
                <w:rFonts w:hint="default" w:ascii="Times New Roman" w:hAnsi="Times New Roman" w:cs="Times New Roman"/>
                <w:sz w:val="24"/>
                <w:szCs w:val="21"/>
                <w:lang w:val="en-US"/>
              </w:rPr>
            </w:pPr>
            <w:r>
              <w:rPr>
                <w:rFonts w:hint="default" w:ascii="Times New Roman" w:hAnsi="Times New Roman" w:eastAsia="仿宋_GB2312" w:cs="Times New Roman"/>
                <w:kern w:val="2"/>
                <w:sz w:val="24"/>
                <w:szCs w:val="21"/>
                <w:lang w:val="en-US" w:eastAsia="zh-CN" w:bidi="ar"/>
              </w:rPr>
              <w:t>2023</w:t>
            </w:r>
            <w:r>
              <w:rPr>
                <w:rFonts w:hint="eastAsia" w:ascii="Times New Roman" w:hAnsi="Times New Roman" w:eastAsia="仿宋_GB2312" w:cs="仿宋_GB2312"/>
                <w:kern w:val="2"/>
                <w:sz w:val="24"/>
                <w:szCs w:val="21"/>
                <w:lang w:val="en-US" w:eastAsia="zh-CN" w:bidi="ar"/>
              </w:rPr>
              <w:t>年增量</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280" w:lineRule="atLeast"/>
              <w:ind w:left="0" w:right="0" w:firstLine="0" w:firstLineChars="0"/>
              <w:jc w:val="center"/>
              <w:rPr>
                <w:rFonts w:hint="default" w:ascii="Times New Roman" w:hAnsi="Times New Roman" w:cs="Times New Roman"/>
                <w:sz w:val="24"/>
                <w:szCs w:val="21"/>
                <w:lang w:val="en-US"/>
              </w:rPr>
            </w:pPr>
            <w:r>
              <w:rPr>
                <w:rFonts w:hint="default" w:ascii="Times New Roman" w:hAnsi="Times New Roman" w:eastAsia="仿宋_GB2312" w:cs="Times New Roman"/>
                <w:kern w:val="2"/>
                <w:sz w:val="24"/>
                <w:szCs w:val="21"/>
                <w:lang w:val="en-US" w:eastAsia="zh-CN" w:bidi="ar"/>
              </w:rPr>
              <w:t>2024</w:t>
            </w:r>
            <w:r>
              <w:rPr>
                <w:rFonts w:hint="eastAsia" w:ascii="Times New Roman" w:hAnsi="Times New Roman" w:eastAsia="仿宋_GB2312" w:cs="仿宋_GB2312"/>
                <w:kern w:val="2"/>
                <w:sz w:val="24"/>
                <w:szCs w:val="21"/>
                <w:lang w:val="en-US" w:eastAsia="zh-CN" w:bidi="ar"/>
              </w:rPr>
              <w:t>年增量</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280" w:lineRule="atLeast"/>
              <w:ind w:left="0" w:right="0" w:firstLine="0" w:firstLineChars="0"/>
              <w:jc w:val="center"/>
              <w:rPr>
                <w:rFonts w:hint="default" w:ascii="Times New Roman" w:hAnsi="Times New Roman" w:cs="Times New Roman"/>
                <w:sz w:val="24"/>
                <w:szCs w:val="21"/>
                <w:lang w:val="en-US"/>
              </w:rPr>
            </w:pPr>
            <w:r>
              <w:rPr>
                <w:rFonts w:hint="default" w:ascii="Times New Roman" w:hAnsi="Times New Roman" w:eastAsia="仿宋_GB2312" w:cs="Times New Roman"/>
                <w:kern w:val="2"/>
                <w:sz w:val="24"/>
                <w:szCs w:val="21"/>
                <w:lang w:val="en-US" w:eastAsia="zh-CN" w:bidi="ar"/>
              </w:rPr>
              <w:t>2025</w:t>
            </w:r>
            <w:r>
              <w:rPr>
                <w:rFonts w:hint="eastAsia" w:ascii="Times New Roman" w:hAnsi="Times New Roman" w:eastAsia="仿宋_GB2312" w:cs="仿宋_GB2312"/>
                <w:kern w:val="2"/>
                <w:sz w:val="24"/>
                <w:szCs w:val="21"/>
                <w:lang w:val="en-US" w:eastAsia="zh-CN" w:bidi="ar"/>
              </w:rPr>
              <w:t>年增量</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280" w:lineRule="atLeast"/>
              <w:ind w:left="0" w:right="0" w:firstLine="0" w:firstLineChars="0"/>
              <w:jc w:val="center"/>
              <w:rPr>
                <w:rFonts w:hint="default" w:ascii="Times New Roman" w:hAnsi="Times New Roman" w:cs="Times New Roman"/>
                <w:sz w:val="24"/>
                <w:szCs w:val="21"/>
                <w:lang w:val="en-US"/>
              </w:rPr>
            </w:pPr>
            <w:r>
              <w:rPr>
                <w:rFonts w:hint="eastAsia" w:ascii="Times New Roman" w:hAnsi="Times New Roman" w:eastAsia="仿宋_GB2312" w:cs="仿宋_GB2312"/>
                <w:kern w:val="2"/>
                <w:sz w:val="24"/>
                <w:szCs w:val="21"/>
                <w:lang w:val="en-US" w:eastAsia="zh-CN" w:bidi="ar"/>
              </w:rPr>
              <w:t>合计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cs="Times New Roman"/>
                <w:sz w:val="24"/>
                <w:szCs w:val="21"/>
                <w:lang w:val="en-US"/>
              </w:rPr>
            </w:pPr>
            <w:r>
              <w:rPr>
                <w:rFonts w:hint="eastAsia" w:ascii="Times New Roman" w:hAnsi="Times New Roman" w:eastAsia="仿宋_GB2312" w:cs="仿宋_GB2312"/>
                <w:kern w:val="2"/>
                <w:sz w:val="24"/>
                <w:szCs w:val="21"/>
                <w:lang w:val="en-US" w:eastAsia="zh-CN" w:bidi="ar"/>
              </w:rPr>
              <w:t>电动汽车</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cs="Times New Roman"/>
                <w:sz w:val="24"/>
                <w:szCs w:val="21"/>
                <w:lang w:val="en-US"/>
              </w:rPr>
            </w:pPr>
            <w:r>
              <w:rPr>
                <w:rFonts w:hint="default" w:ascii="Times New Roman" w:hAnsi="Times New Roman" w:eastAsia="仿宋_GB2312" w:cs="Times New Roman"/>
                <w:kern w:val="2"/>
                <w:sz w:val="24"/>
                <w:szCs w:val="21"/>
                <w:lang w:val="en-US" w:eastAsia="zh-CN" w:bidi="ar"/>
              </w:rPr>
              <w:t>8570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eastAsia="仿宋_GB2312" w:cs="Times New Roman"/>
                <w:kern w:val="2"/>
                <w:sz w:val="24"/>
                <w:szCs w:val="21"/>
                <w:lang w:val="en-US" w:eastAsia="zh-CN" w:bidi="ar"/>
              </w:rPr>
            </w:pPr>
            <w:r>
              <w:rPr>
                <w:rFonts w:hint="eastAsia" w:ascii="Times New Roman" w:hAnsi="Times New Roman" w:eastAsia="仿宋_GB2312" w:cs="Times New Roman"/>
                <w:kern w:val="2"/>
                <w:sz w:val="24"/>
                <w:szCs w:val="21"/>
                <w:lang w:val="en-US" w:eastAsia="zh-CN" w:bidi="ar"/>
              </w:rPr>
              <w:t xml:space="preserve">8500 </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eastAsia="仿宋_GB2312" w:cs="Times New Roman"/>
                <w:kern w:val="2"/>
                <w:sz w:val="24"/>
                <w:szCs w:val="21"/>
                <w:lang w:val="en-US" w:eastAsia="zh-CN" w:bidi="ar"/>
              </w:rPr>
            </w:pPr>
            <w:r>
              <w:rPr>
                <w:rFonts w:hint="eastAsia" w:ascii="Times New Roman" w:hAnsi="Times New Roman" w:eastAsia="仿宋_GB2312" w:cs="Times New Roman"/>
                <w:kern w:val="2"/>
                <w:sz w:val="24"/>
                <w:szCs w:val="21"/>
                <w:lang w:val="en-US" w:eastAsia="zh-CN" w:bidi="ar"/>
              </w:rPr>
              <w:t xml:space="preserve">8642 </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eastAsia="仿宋_GB2312" w:cs="Times New Roman"/>
                <w:kern w:val="2"/>
                <w:sz w:val="24"/>
                <w:szCs w:val="21"/>
                <w:lang w:val="en-US" w:eastAsia="zh-CN" w:bidi="ar"/>
              </w:rPr>
            </w:pPr>
            <w:r>
              <w:rPr>
                <w:rFonts w:hint="eastAsia" w:ascii="Times New Roman" w:hAnsi="Times New Roman" w:eastAsia="仿宋_GB2312" w:cs="Times New Roman"/>
                <w:kern w:val="2"/>
                <w:sz w:val="24"/>
                <w:szCs w:val="21"/>
                <w:lang w:val="en-US" w:eastAsia="zh-CN" w:bidi="ar"/>
              </w:rPr>
              <w:t xml:space="preserve">8397 </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eastAsia="仿宋_GB2312" w:cs="Times New Roman"/>
                <w:kern w:val="2"/>
                <w:sz w:val="24"/>
                <w:szCs w:val="21"/>
                <w:lang w:val="en-US" w:eastAsia="zh-CN" w:bidi="ar"/>
              </w:rPr>
            </w:pPr>
            <w:r>
              <w:rPr>
                <w:rFonts w:hint="eastAsia" w:ascii="Times New Roman" w:hAnsi="Times New Roman" w:eastAsia="仿宋_GB2312" w:cs="Times New Roman"/>
                <w:kern w:val="2"/>
                <w:sz w:val="24"/>
                <w:szCs w:val="21"/>
                <w:lang w:val="en-US" w:eastAsia="zh-CN" w:bidi="ar"/>
              </w:rPr>
              <w:t xml:space="preserve">8425 </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eastAsia="仿宋_GB2312" w:cs="Times New Roman"/>
                <w:kern w:val="2"/>
                <w:sz w:val="24"/>
                <w:szCs w:val="21"/>
                <w:lang w:val="en-US" w:eastAsia="zh-CN" w:bidi="ar"/>
              </w:rPr>
            </w:pPr>
            <w:r>
              <w:rPr>
                <w:rFonts w:hint="eastAsia" w:ascii="Times New Roman" w:hAnsi="Times New Roman" w:eastAsia="仿宋_GB2312" w:cs="Times New Roman"/>
                <w:kern w:val="2"/>
                <w:sz w:val="24"/>
                <w:szCs w:val="21"/>
                <w:lang w:val="en-US" w:eastAsia="zh-CN" w:bidi="ar"/>
              </w:rPr>
              <w:t xml:space="preserve">9329 </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eastAsia="仿宋_GB2312" w:cs="Times New Roman"/>
                <w:kern w:val="2"/>
                <w:sz w:val="24"/>
                <w:szCs w:val="21"/>
                <w:lang w:val="en-US" w:eastAsia="zh-CN" w:bidi="ar"/>
              </w:rPr>
            </w:pPr>
            <w:r>
              <w:rPr>
                <w:rFonts w:hint="eastAsia" w:cs="Times New Roman"/>
                <w:kern w:val="2"/>
                <w:sz w:val="24"/>
                <w:szCs w:val="21"/>
                <w:lang w:val="en-US" w:eastAsia="zh-CN" w:bidi="ar"/>
              </w:rPr>
              <w:t>51862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cs="Times New Roman"/>
                <w:sz w:val="24"/>
                <w:szCs w:val="21"/>
                <w:lang w:val="en-US"/>
              </w:rPr>
            </w:pPr>
            <w:r>
              <w:rPr>
                <w:rFonts w:hint="eastAsia" w:ascii="Times New Roman" w:hAnsi="Times New Roman" w:eastAsia="仿宋_GB2312" w:cs="仿宋_GB2312"/>
                <w:kern w:val="2"/>
                <w:sz w:val="24"/>
                <w:szCs w:val="21"/>
                <w:lang w:val="en-US" w:eastAsia="zh-CN" w:bidi="ar"/>
              </w:rPr>
              <w:t>其中：公交车</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cs="Times New Roman"/>
                <w:sz w:val="24"/>
                <w:szCs w:val="21"/>
                <w:lang w:val="en-US"/>
              </w:rPr>
            </w:pPr>
            <w:r>
              <w:rPr>
                <w:rFonts w:hint="default" w:ascii="Times New Roman" w:hAnsi="Times New Roman" w:eastAsia="仿宋_GB2312" w:cs="Times New Roman"/>
                <w:kern w:val="2"/>
                <w:sz w:val="24"/>
                <w:szCs w:val="21"/>
                <w:lang w:val="en-US" w:eastAsia="zh-CN" w:bidi="ar"/>
              </w:rPr>
              <w:t>880</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eastAsia="仿宋_GB2312" w:cs="Times New Roman"/>
                <w:kern w:val="2"/>
                <w:sz w:val="24"/>
                <w:szCs w:val="21"/>
                <w:lang w:val="en-US" w:eastAsia="zh-CN" w:bidi="ar"/>
              </w:rPr>
            </w:pPr>
            <w:r>
              <w:rPr>
                <w:rFonts w:hint="eastAsia" w:ascii="Times New Roman" w:hAnsi="Times New Roman" w:eastAsia="仿宋_GB2312" w:cs="Times New Roman"/>
                <w:kern w:val="2"/>
                <w:sz w:val="24"/>
                <w:szCs w:val="21"/>
                <w:lang w:val="en-US" w:eastAsia="zh-CN" w:bidi="ar"/>
              </w:rPr>
              <w:t>131</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eastAsia="仿宋_GB2312" w:cs="Times New Roman"/>
                <w:kern w:val="2"/>
                <w:sz w:val="24"/>
                <w:szCs w:val="21"/>
                <w:lang w:val="en-US" w:eastAsia="zh-CN" w:bidi="ar"/>
              </w:rPr>
            </w:pPr>
            <w:r>
              <w:rPr>
                <w:rFonts w:hint="eastAsia" w:ascii="Times New Roman" w:hAnsi="Times New Roman" w:eastAsia="仿宋_GB2312" w:cs="Times New Roman"/>
                <w:kern w:val="2"/>
                <w:sz w:val="24"/>
                <w:szCs w:val="21"/>
                <w:lang w:val="en-US" w:eastAsia="zh-CN" w:bidi="ar"/>
              </w:rPr>
              <w:t>150</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eastAsia="仿宋_GB2312" w:cs="Times New Roman"/>
                <w:kern w:val="2"/>
                <w:sz w:val="24"/>
                <w:szCs w:val="21"/>
                <w:lang w:val="en-US" w:eastAsia="zh-CN" w:bidi="ar"/>
              </w:rPr>
            </w:pPr>
            <w:r>
              <w:rPr>
                <w:rFonts w:hint="eastAsia" w:ascii="Times New Roman" w:hAnsi="Times New Roman" w:eastAsia="仿宋_GB2312" w:cs="Times New Roman"/>
                <w:kern w:val="2"/>
                <w:sz w:val="24"/>
                <w:szCs w:val="21"/>
                <w:lang w:val="en-US" w:eastAsia="zh-CN" w:bidi="ar"/>
              </w:rPr>
              <w:t>172</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eastAsia="仿宋_GB2312" w:cs="Times New Roman"/>
                <w:kern w:val="2"/>
                <w:sz w:val="24"/>
                <w:szCs w:val="21"/>
                <w:lang w:val="en-US" w:eastAsia="zh-CN" w:bidi="ar"/>
              </w:rPr>
            </w:pPr>
            <w:r>
              <w:rPr>
                <w:rFonts w:hint="eastAsia" w:ascii="Times New Roman" w:hAnsi="Times New Roman" w:eastAsia="仿宋_GB2312" w:cs="Times New Roman"/>
                <w:kern w:val="2"/>
                <w:sz w:val="24"/>
                <w:szCs w:val="21"/>
                <w:lang w:val="en-US" w:eastAsia="zh-CN" w:bidi="ar"/>
              </w:rPr>
              <w:t>198</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eastAsia="仿宋_GB2312" w:cs="Times New Roman"/>
                <w:kern w:val="2"/>
                <w:sz w:val="24"/>
                <w:szCs w:val="21"/>
                <w:lang w:val="en-US" w:eastAsia="zh-CN" w:bidi="ar"/>
              </w:rPr>
            </w:pPr>
            <w:r>
              <w:rPr>
                <w:rFonts w:hint="eastAsia" w:ascii="Times New Roman" w:hAnsi="Times New Roman" w:eastAsia="仿宋_GB2312" w:cs="Times New Roman"/>
                <w:kern w:val="2"/>
                <w:sz w:val="24"/>
                <w:szCs w:val="21"/>
                <w:lang w:val="en-US" w:eastAsia="zh-CN" w:bidi="ar"/>
              </w:rPr>
              <w:t>227</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cs="Times New Roman"/>
                <w:sz w:val="24"/>
                <w:szCs w:val="21"/>
                <w:lang w:val="en-US"/>
              </w:rPr>
            </w:pPr>
            <w:r>
              <w:rPr>
                <w:rFonts w:hint="eastAsia" w:cs="Times New Roman"/>
                <w:kern w:val="2"/>
                <w:sz w:val="24"/>
                <w:szCs w:val="21"/>
                <w:lang w:val="en-US" w:eastAsia="zh-CN" w:bidi="ar"/>
              </w:rPr>
              <w:t>1758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62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cs="Times New Roman"/>
                <w:sz w:val="24"/>
                <w:szCs w:val="21"/>
                <w:lang w:val="en-US"/>
              </w:rPr>
            </w:pPr>
            <w:r>
              <w:rPr>
                <w:rFonts w:hint="default" w:ascii="Times New Roman" w:hAnsi="Times New Roman" w:eastAsia="仿宋_GB2312" w:cs="Times New Roman"/>
                <w:kern w:val="2"/>
                <w:sz w:val="24"/>
                <w:szCs w:val="21"/>
                <w:lang w:val="en-US" w:eastAsia="zh-CN" w:bidi="ar"/>
              </w:rPr>
              <w:t xml:space="preserve">     </w:t>
            </w:r>
            <w:r>
              <w:rPr>
                <w:rFonts w:hint="eastAsia" w:ascii="Times New Roman" w:hAnsi="Times New Roman" w:eastAsia="仿宋_GB2312" w:cs="仿宋_GB2312"/>
                <w:kern w:val="2"/>
                <w:sz w:val="24"/>
                <w:szCs w:val="21"/>
                <w:lang w:val="en-US" w:eastAsia="zh-CN" w:bidi="ar"/>
              </w:rPr>
              <w:t>出租车</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cs="Times New Roman"/>
                <w:sz w:val="24"/>
                <w:szCs w:val="21"/>
                <w:lang w:val="en-US"/>
              </w:rPr>
            </w:pPr>
            <w:r>
              <w:rPr>
                <w:rFonts w:hint="default" w:ascii="Times New Roman" w:hAnsi="Times New Roman" w:eastAsia="仿宋_GB2312" w:cs="Times New Roman"/>
                <w:kern w:val="2"/>
                <w:sz w:val="24"/>
                <w:szCs w:val="21"/>
                <w:lang w:val="en-US" w:eastAsia="zh-CN" w:bidi="ar"/>
              </w:rPr>
              <w:t>733</w:t>
            </w:r>
          </w:p>
        </w:tc>
        <w:tc>
          <w:tcPr>
            <w:tcW w:w="117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eastAsia="仿宋_GB2312" w:cs="Times New Roman"/>
                <w:kern w:val="2"/>
                <w:sz w:val="24"/>
                <w:szCs w:val="21"/>
                <w:lang w:val="en-US" w:eastAsia="zh-CN" w:bidi="ar"/>
              </w:rPr>
            </w:pPr>
            <w:r>
              <w:rPr>
                <w:rFonts w:hint="eastAsia" w:ascii="Times New Roman" w:hAnsi="Times New Roman" w:eastAsia="仿宋_GB2312" w:cs="Times New Roman"/>
                <w:kern w:val="2"/>
                <w:sz w:val="24"/>
                <w:szCs w:val="21"/>
                <w:lang w:val="en-US" w:eastAsia="zh-CN" w:bidi="ar"/>
              </w:rPr>
              <w:t>131</w:t>
            </w:r>
          </w:p>
        </w:tc>
        <w:tc>
          <w:tcPr>
            <w:tcW w:w="1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eastAsia="仿宋_GB2312" w:cs="Times New Roman"/>
                <w:kern w:val="2"/>
                <w:sz w:val="24"/>
                <w:szCs w:val="21"/>
                <w:lang w:val="en-US" w:eastAsia="zh-CN" w:bidi="ar"/>
              </w:rPr>
            </w:pPr>
            <w:r>
              <w:rPr>
                <w:rFonts w:hint="eastAsia" w:ascii="Times New Roman" w:hAnsi="Times New Roman" w:eastAsia="仿宋_GB2312" w:cs="Times New Roman"/>
                <w:kern w:val="2"/>
                <w:sz w:val="24"/>
                <w:szCs w:val="21"/>
                <w:lang w:val="en-US" w:eastAsia="zh-CN" w:bidi="ar"/>
              </w:rPr>
              <w:t>155</w:t>
            </w:r>
          </w:p>
        </w:tc>
        <w:tc>
          <w:tcPr>
            <w:tcW w:w="103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eastAsia="仿宋_GB2312" w:cs="Times New Roman"/>
                <w:kern w:val="2"/>
                <w:sz w:val="24"/>
                <w:szCs w:val="21"/>
                <w:lang w:val="en-US" w:eastAsia="zh-CN" w:bidi="ar"/>
              </w:rPr>
            </w:pPr>
            <w:r>
              <w:rPr>
                <w:rFonts w:hint="eastAsia" w:ascii="Times New Roman" w:hAnsi="Times New Roman" w:eastAsia="仿宋_GB2312" w:cs="Times New Roman"/>
                <w:kern w:val="2"/>
                <w:sz w:val="24"/>
                <w:szCs w:val="21"/>
                <w:lang w:val="en-US" w:eastAsia="zh-CN" w:bidi="ar"/>
              </w:rPr>
              <w:t>183</w:t>
            </w:r>
          </w:p>
        </w:tc>
        <w:tc>
          <w:tcPr>
            <w:tcW w:w="118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eastAsia="仿宋_GB2312" w:cs="Times New Roman"/>
                <w:kern w:val="2"/>
                <w:sz w:val="24"/>
                <w:szCs w:val="21"/>
                <w:lang w:val="en-US" w:eastAsia="zh-CN" w:bidi="ar"/>
              </w:rPr>
            </w:pPr>
            <w:r>
              <w:rPr>
                <w:rFonts w:hint="eastAsia" w:ascii="Times New Roman" w:hAnsi="Times New Roman" w:eastAsia="仿宋_GB2312" w:cs="Times New Roman"/>
                <w:kern w:val="2"/>
                <w:sz w:val="24"/>
                <w:szCs w:val="21"/>
                <w:lang w:val="en-US" w:eastAsia="zh-CN" w:bidi="ar"/>
              </w:rPr>
              <w:t>215</w:t>
            </w:r>
          </w:p>
        </w:tc>
        <w:tc>
          <w:tcPr>
            <w:tcW w:w="10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eastAsia="仿宋_GB2312" w:cs="Times New Roman"/>
                <w:kern w:val="2"/>
                <w:sz w:val="24"/>
                <w:szCs w:val="21"/>
                <w:lang w:val="en-US" w:eastAsia="zh-CN" w:bidi="ar"/>
              </w:rPr>
            </w:pPr>
            <w:r>
              <w:rPr>
                <w:rFonts w:hint="eastAsia" w:ascii="Times New Roman" w:hAnsi="Times New Roman" w:eastAsia="仿宋_GB2312" w:cs="Times New Roman"/>
                <w:kern w:val="2"/>
                <w:sz w:val="24"/>
                <w:szCs w:val="21"/>
                <w:lang w:val="en-US" w:eastAsia="zh-CN" w:bidi="ar"/>
              </w:rPr>
              <w:t>254</w:t>
            </w:r>
          </w:p>
        </w:tc>
        <w:tc>
          <w:tcPr>
            <w:tcW w:w="108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val="0"/>
              <w:suppressLineNumbers w:val="0"/>
              <w:spacing w:before="0" w:beforeAutospacing="0" w:after="0" w:afterAutospacing="0" w:line="420" w:lineRule="atLeast"/>
              <w:ind w:left="0" w:right="0" w:firstLine="0" w:firstLineChars="0"/>
              <w:jc w:val="center"/>
              <w:rPr>
                <w:rFonts w:hint="default" w:ascii="Times New Roman" w:hAnsi="Times New Roman" w:cs="Times New Roman"/>
                <w:sz w:val="24"/>
                <w:szCs w:val="21"/>
                <w:lang w:val="en-US"/>
              </w:rPr>
            </w:pPr>
            <w:r>
              <w:rPr>
                <w:rFonts w:hint="eastAsia" w:cs="Times New Roman"/>
                <w:kern w:val="2"/>
                <w:sz w:val="24"/>
                <w:szCs w:val="21"/>
                <w:lang w:val="en-US" w:eastAsia="zh-CN" w:bidi="ar"/>
              </w:rPr>
              <w:t>1671</w:t>
            </w:r>
          </w:p>
        </w:tc>
      </w:tr>
    </w:tbl>
    <w:p>
      <w:pPr>
        <w:rPr>
          <w:rFonts w:hint="eastAsia"/>
          <w:lang w:eastAsia="zh-CN"/>
        </w:rPr>
      </w:pPr>
      <w:r>
        <w:rPr>
          <w:rFonts w:hint="eastAsia"/>
          <w:lang w:eastAsia="zh-CN"/>
        </w:rPr>
        <w:br w:type="page"/>
      </w:r>
    </w:p>
    <w:p>
      <w:pPr>
        <w:pStyle w:val="3"/>
        <w:bidi w:val="0"/>
        <w:rPr>
          <w:rFonts w:hint="eastAsia"/>
          <w:lang w:val="en-US" w:eastAsia="zh-CN"/>
        </w:rPr>
      </w:pPr>
      <w:r>
        <w:rPr>
          <w:rStyle w:val="23"/>
          <w:rFonts w:hint="eastAsia"/>
          <w:bCs/>
          <w:lang w:eastAsia="zh-CN"/>
        </w:rPr>
        <w:t>附件</w:t>
      </w:r>
      <w:r>
        <w:rPr>
          <w:rStyle w:val="23"/>
          <w:rFonts w:hint="eastAsia"/>
          <w:bCs/>
          <w:lang w:val="en-US" w:eastAsia="zh-CN"/>
        </w:rPr>
        <w:t>2</w:t>
      </w:r>
      <w:r>
        <w:rPr>
          <w:rFonts w:hint="eastAsia"/>
          <w:lang w:val="en-US" w:eastAsia="zh-CN"/>
        </w:rPr>
        <w:t xml:space="preserve"> </w:t>
      </w:r>
      <w:r>
        <w:rPr>
          <w:rFonts w:hint="eastAsia" w:ascii="黑体" w:hAnsi="黑体" w:eastAsia="黑体" w:cs="黑体"/>
          <w:lang w:val="en-US" w:eastAsia="zh-CN"/>
        </w:rPr>
        <w:t>义乌市充电基础设施布局图</w:t>
      </w: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pPr>
      <w:r>
        <w:drawing>
          <wp:inline distT="0" distB="0" distL="114300" distR="114300">
            <wp:extent cx="5272405" cy="5699760"/>
            <wp:effectExtent l="0" t="0" r="4445" b="152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6"/>
                    <a:stretch>
                      <a:fillRect/>
                    </a:stretch>
                  </pic:blipFill>
                  <pic:spPr>
                    <a:xfrm>
                      <a:off x="0" y="0"/>
                      <a:ext cx="5272405" cy="5699760"/>
                    </a:xfrm>
                    <a:prstGeom prst="rect">
                      <a:avLst/>
                    </a:prstGeom>
                    <a:noFill/>
                    <a:ln>
                      <a:noFill/>
                    </a:ln>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仿宋_GB2312"/>
          <w:b/>
          <w:bCs w:val="0"/>
          <w:lang w:val="en-US" w:eastAsia="zh-CN"/>
        </w:rPr>
      </w:pPr>
      <w:r>
        <w:rPr>
          <w:rFonts w:hint="eastAsia"/>
          <w:b/>
          <w:bCs w:val="0"/>
          <w:lang w:eastAsia="zh-CN"/>
        </w:rPr>
        <w:t>附图</w:t>
      </w:r>
      <w:r>
        <w:rPr>
          <w:rFonts w:hint="eastAsia"/>
          <w:b/>
          <w:bCs w:val="0"/>
          <w:lang w:val="en-US" w:eastAsia="zh-CN"/>
        </w:rPr>
        <w:t>1 义乌市充电基础设施建设情况</w:t>
      </w: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pPr>
      <w:r>
        <w:drawing>
          <wp:inline distT="0" distB="0" distL="114300" distR="114300">
            <wp:extent cx="5276850" cy="4784090"/>
            <wp:effectExtent l="0" t="0" r="0" b="1651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27"/>
                    <a:stretch>
                      <a:fillRect/>
                    </a:stretch>
                  </pic:blipFill>
                  <pic:spPr>
                    <a:xfrm>
                      <a:off x="0" y="0"/>
                      <a:ext cx="5276850" cy="4784090"/>
                    </a:xfrm>
                    <a:prstGeom prst="rect">
                      <a:avLst/>
                    </a:prstGeom>
                    <a:noFill/>
                    <a:ln>
                      <a:noFill/>
                    </a:ln>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b/>
          <w:bCs w:val="0"/>
          <w:lang w:val="en-US" w:eastAsia="zh-CN"/>
        </w:rPr>
      </w:pPr>
      <w:r>
        <w:rPr>
          <w:rFonts w:hint="eastAsia"/>
          <w:b/>
          <w:bCs w:val="0"/>
          <w:lang w:eastAsia="zh-CN"/>
        </w:rPr>
        <w:t>附图</w:t>
      </w:r>
      <w:r>
        <w:rPr>
          <w:rFonts w:hint="eastAsia"/>
          <w:b/>
          <w:bCs w:val="0"/>
          <w:lang w:val="en-US" w:eastAsia="zh-CN"/>
        </w:rPr>
        <w:t>2 义乌市核心发展区域充电基础建设情况</w:t>
      </w: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pPr>
      <w:r>
        <w:drawing>
          <wp:inline distT="0" distB="0" distL="114300" distR="114300">
            <wp:extent cx="5271135" cy="4709160"/>
            <wp:effectExtent l="0" t="0" r="5715" b="152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8"/>
                    <a:stretch>
                      <a:fillRect/>
                    </a:stretch>
                  </pic:blipFill>
                  <pic:spPr>
                    <a:xfrm>
                      <a:off x="0" y="0"/>
                      <a:ext cx="5271135" cy="4709160"/>
                    </a:xfrm>
                    <a:prstGeom prst="rect">
                      <a:avLst/>
                    </a:prstGeom>
                    <a:noFill/>
                    <a:ln>
                      <a:noFill/>
                    </a:ln>
                  </pic:spPr>
                </pic:pic>
              </a:graphicData>
            </a:graphic>
          </wp:inline>
        </w:drawing>
      </w: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b/>
          <w:bCs w:val="0"/>
          <w:lang w:val="en-US" w:eastAsia="zh-CN"/>
        </w:rPr>
      </w:pPr>
      <w:r>
        <w:rPr>
          <w:rFonts w:hint="eastAsia"/>
          <w:b/>
          <w:bCs w:val="0"/>
          <w:lang w:eastAsia="zh-CN"/>
        </w:rPr>
        <w:t>附图</w:t>
      </w:r>
      <w:r>
        <w:rPr>
          <w:rFonts w:hint="eastAsia"/>
          <w:b/>
          <w:bCs w:val="0"/>
          <w:lang w:val="en-US" w:eastAsia="zh-CN"/>
        </w:rPr>
        <w:t>3 义乌国际商贸城充电基础设施建设情况</w:t>
      </w: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b/>
          <w:bCs w:val="0"/>
          <w:lang w:val="en-US" w:eastAsia="zh-CN"/>
        </w:rPr>
      </w:pP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b/>
          <w:bCs w:val="0"/>
          <w:lang w:val="en-US" w:eastAsia="zh-CN"/>
        </w:rPr>
      </w:pP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lang w:val="en-US" w:eastAsia="zh-CN"/>
        </w:rPr>
      </w:pPr>
    </w:p>
    <w:p>
      <w:pPr>
        <w:pStyle w:val="2"/>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default"/>
          <w:lang w:val="en-US" w:eastAsia="zh-CN"/>
        </w:rPr>
      </w:pPr>
    </w:p>
    <w:sectPr>
      <w:pgSz w:w="11906" w:h="16838"/>
      <w:pgMar w:top="1440" w:right="1797" w:bottom="1440" w:left="1797" w:header="851" w:footer="992" w:gutter="0"/>
      <w:pgNumType w:fmt="decimal" w:start="1"/>
      <w:cols w:space="425" w:num="1"/>
      <w:docGrid w:type="linesAndChars" w:linePitch="435"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方正书宋简体">
    <w:altName w:val="宋体"/>
    <w:panose1 w:val="00000000000000000000"/>
    <w:charset w:val="86"/>
    <w:family w:val="script"/>
    <w:pitch w:val="default"/>
    <w:sig w:usb0="00000000" w:usb1="00000000" w:usb2="00000010" w:usb3="00000000" w:csb0="00040000" w:csb1="00000000"/>
  </w:font>
  <w:font w:name="方正小标宋简体">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168633"/>
    </w:sdtPr>
    <w:sdtContent>
      <w:p>
        <w:pPr>
          <w:pStyle w:val="9"/>
          <w:ind w:firstLine="360"/>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9"/>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r>
      <w:fldChar w:fldCharType="begin"/>
    </w:r>
    <w:r>
      <w:instrText xml:space="preserve"> PAGE   \* MERGEFORMAT </w:instrText>
    </w:r>
    <w:r>
      <w:fldChar w:fldCharType="separate"/>
    </w:r>
    <w:r>
      <w:rPr>
        <w:lang w:val="zh-CN"/>
      </w:rPr>
      <w:t>2</w:t>
    </w:r>
    <w:r>
      <w:rPr>
        <w:lang w:val="zh-C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ind w:firstLine="360"/>
                            <w:jc w:val="center"/>
                          </w:pPr>
                          <w:r>
                            <w:fldChar w:fldCharType="begin"/>
                          </w:r>
                          <w:r>
                            <w:instrText xml:space="preserve"> PAGE   \* MERGEFORMAT </w:instrText>
                          </w:r>
                          <w:r>
                            <w:fldChar w:fldCharType="separate"/>
                          </w:r>
                          <w:r>
                            <w:rPr>
                              <w:lang w:val="zh-CN"/>
                            </w:rPr>
                            <w:t>2</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9"/>
                      <w:ind w:firstLine="360"/>
                      <w:jc w:val="center"/>
                    </w:pPr>
                    <w:r>
                      <w:fldChar w:fldCharType="begin"/>
                    </w:r>
                    <w:r>
                      <w:instrText xml:space="preserve"> PAGE   \* MERGEFORMAT </w:instrText>
                    </w:r>
                    <w:r>
                      <w:fldChar w:fldCharType="separate"/>
                    </w:r>
                    <w:r>
                      <w:rPr>
                        <w:lang w:val="zh-CN"/>
                      </w:rPr>
                      <w:t>2</w:t>
                    </w:r>
                    <w:r>
                      <w:rPr>
                        <w:lang w:val="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sdt>
                          <w:sdtPr>
                            <w:id w:val="12361506"/>
                          </w:sdtPr>
                          <w:sdtContent>
                            <w:p>
                              <w:pPr>
                                <w:pStyle w:val="9"/>
                                <w:ind w:firstLine="360"/>
                                <w:jc w:val="center"/>
                              </w:pPr>
                              <w:r>
                                <w:fldChar w:fldCharType="begin"/>
                              </w:r>
                              <w:r>
                                <w:instrText xml:space="preserve"> PAGE   \* MERGEFORMAT </w:instrText>
                              </w:r>
                              <w:r>
                                <w:fldChar w:fldCharType="separate"/>
                              </w:r>
                              <w:r>
                                <w:rPr>
                                  <w:lang w:val="zh-CN"/>
                                </w:rPr>
                                <w:t>25</w:t>
                              </w:r>
                              <w:r>
                                <w:rPr>
                                  <w:lang w:val="zh-CN"/>
                                </w:rPr>
                                <w:fldChar w:fldCharType="end"/>
                              </w:r>
                            </w:p>
                          </w:sdtContent>
                        </w:sdt>
                        <w:p>
                          <w:pPr>
                            <w:ind w:firstLine="640"/>
                          </w:pP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23/xws0BAACnAwAADgAAAAAAAAABACAAAAAeAQAAZHJzL2Uy&#10;b0RvYy54bWxQSwUGAAAAAAYABgBZAQAAXQUAAAAA&#10;">
              <v:fill on="f" focussize="0,0"/>
              <v:stroke on="f"/>
              <v:imagedata o:title=""/>
              <o:lock v:ext="edit" aspectratio="f"/>
              <v:textbox inset="0mm,0mm,0mm,0mm" style="mso-fit-shape-to-text:t;">
                <w:txbxContent>
                  <w:sdt>
                    <w:sdtPr>
                      <w:id w:val="12361506"/>
                    </w:sdtPr>
                    <w:sdtContent>
                      <w:p>
                        <w:pPr>
                          <w:pStyle w:val="9"/>
                          <w:ind w:firstLine="360"/>
                          <w:jc w:val="center"/>
                        </w:pPr>
                        <w:r>
                          <w:fldChar w:fldCharType="begin"/>
                        </w:r>
                        <w:r>
                          <w:instrText xml:space="preserve"> PAGE   \* MERGEFORMAT </w:instrText>
                        </w:r>
                        <w:r>
                          <w:fldChar w:fldCharType="separate"/>
                        </w:r>
                        <w:r>
                          <w:rPr>
                            <w:lang w:val="zh-CN"/>
                          </w:rPr>
                          <w:t>25</w:t>
                        </w:r>
                        <w:r>
                          <w:rPr>
                            <w:lang w:val="zh-CN"/>
                          </w:rPr>
                          <w:fldChar w:fldCharType="end"/>
                        </w:r>
                      </w:p>
                    </w:sdtContent>
                  </w:sdt>
                  <w:p>
                    <w:pPr>
                      <w:ind w:firstLine="640"/>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7326A7"/>
    <w:multiLevelType w:val="multilevel"/>
    <w:tmpl w:val="2A7326A7"/>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100"/>
  <w:bordersDoNotSurroundHeader w:val="0"/>
  <w:bordersDoNotSurroundFooter w:val="0"/>
  <w:documentProtection w:enforcement="0"/>
  <w:defaultTabStop w:val="420"/>
  <w:drawingGridHorizontalSpacing w:val="160"/>
  <w:drawingGridVerticalSpacing w:val="435"/>
  <w:displayHorizontalDrawingGridEvery w:val="1"/>
  <w:displayVerticalDrawingGridEvery w:val="1"/>
  <w:noPunctuationKerning w:val="1"/>
  <w:characterSpacingControl w:val="compressPunctuation"/>
  <w:hdr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UzOGFkYmU0NDRmYTVkNGJhYTZkNzIzYTc0NmEzOWQifQ=="/>
  </w:docVars>
  <w:rsids>
    <w:rsidRoot w:val="003320A2"/>
    <w:rsid w:val="00000144"/>
    <w:rsid w:val="00000ACC"/>
    <w:rsid w:val="0000265C"/>
    <w:rsid w:val="00003449"/>
    <w:rsid w:val="00006C8F"/>
    <w:rsid w:val="000176A4"/>
    <w:rsid w:val="0001780B"/>
    <w:rsid w:val="00031786"/>
    <w:rsid w:val="0003405A"/>
    <w:rsid w:val="00035081"/>
    <w:rsid w:val="00035D35"/>
    <w:rsid w:val="00037C1B"/>
    <w:rsid w:val="0004154C"/>
    <w:rsid w:val="000450B8"/>
    <w:rsid w:val="00052B12"/>
    <w:rsid w:val="00065F02"/>
    <w:rsid w:val="0007538E"/>
    <w:rsid w:val="00083052"/>
    <w:rsid w:val="0008601B"/>
    <w:rsid w:val="00086A84"/>
    <w:rsid w:val="000905A3"/>
    <w:rsid w:val="00094DE1"/>
    <w:rsid w:val="00094EF6"/>
    <w:rsid w:val="000B3872"/>
    <w:rsid w:val="000B48F9"/>
    <w:rsid w:val="000E314A"/>
    <w:rsid w:val="000E6E49"/>
    <w:rsid w:val="000E7B4E"/>
    <w:rsid w:val="000F02EA"/>
    <w:rsid w:val="000F350F"/>
    <w:rsid w:val="0010116F"/>
    <w:rsid w:val="001159F6"/>
    <w:rsid w:val="00117C99"/>
    <w:rsid w:val="001232DE"/>
    <w:rsid w:val="001336C2"/>
    <w:rsid w:val="00151017"/>
    <w:rsid w:val="00152860"/>
    <w:rsid w:val="0015334C"/>
    <w:rsid w:val="0015448D"/>
    <w:rsid w:val="0016287F"/>
    <w:rsid w:val="001657ED"/>
    <w:rsid w:val="001672CB"/>
    <w:rsid w:val="00173CFD"/>
    <w:rsid w:val="00181E74"/>
    <w:rsid w:val="0019707D"/>
    <w:rsid w:val="001A58F1"/>
    <w:rsid w:val="001C1F1C"/>
    <w:rsid w:val="001C2C91"/>
    <w:rsid w:val="001C5CDB"/>
    <w:rsid w:val="001C6D53"/>
    <w:rsid w:val="001D3955"/>
    <w:rsid w:val="001E3A43"/>
    <w:rsid w:val="001E5FD7"/>
    <w:rsid w:val="001E6FEB"/>
    <w:rsid w:val="001F1ED5"/>
    <w:rsid w:val="00206913"/>
    <w:rsid w:val="00215B2D"/>
    <w:rsid w:val="002240DE"/>
    <w:rsid w:val="002318F7"/>
    <w:rsid w:val="00234DE9"/>
    <w:rsid w:val="00241618"/>
    <w:rsid w:val="00243B9A"/>
    <w:rsid w:val="00252511"/>
    <w:rsid w:val="00256F0A"/>
    <w:rsid w:val="002649FD"/>
    <w:rsid w:val="00266A7A"/>
    <w:rsid w:val="00267ED3"/>
    <w:rsid w:val="00276353"/>
    <w:rsid w:val="00281BA8"/>
    <w:rsid w:val="002937A1"/>
    <w:rsid w:val="00297176"/>
    <w:rsid w:val="002B5A03"/>
    <w:rsid w:val="002C137F"/>
    <w:rsid w:val="002C231A"/>
    <w:rsid w:val="002D09B1"/>
    <w:rsid w:val="002D33CE"/>
    <w:rsid w:val="002D6C5F"/>
    <w:rsid w:val="002E1CE7"/>
    <w:rsid w:val="002E360B"/>
    <w:rsid w:val="002E4180"/>
    <w:rsid w:val="002F3C3F"/>
    <w:rsid w:val="002F62B4"/>
    <w:rsid w:val="00300F22"/>
    <w:rsid w:val="00307C4A"/>
    <w:rsid w:val="00312F91"/>
    <w:rsid w:val="00321793"/>
    <w:rsid w:val="00322B97"/>
    <w:rsid w:val="0032321C"/>
    <w:rsid w:val="00325E41"/>
    <w:rsid w:val="00330A89"/>
    <w:rsid w:val="0033133D"/>
    <w:rsid w:val="003320A2"/>
    <w:rsid w:val="00342DCB"/>
    <w:rsid w:val="003450EA"/>
    <w:rsid w:val="00345306"/>
    <w:rsid w:val="00351702"/>
    <w:rsid w:val="00352670"/>
    <w:rsid w:val="00361193"/>
    <w:rsid w:val="003749C0"/>
    <w:rsid w:val="00375D37"/>
    <w:rsid w:val="00375FC4"/>
    <w:rsid w:val="00382029"/>
    <w:rsid w:val="00383820"/>
    <w:rsid w:val="00383F88"/>
    <w:rsid w:val="0039052B"/>
    <w:rsid w:val="003918FB"/>
    <w:rsid w:val="003922F0"/>
    <w:rsid w:val="0039322C"/>
    <w:rsid w:val="0039621F"/>
    <w:rsid w:val="003A12AA"/>
    <w:rsid w:val="003A2771"/>
    <w:rsid w:val="003A352C"/>
    <w:rsid w:val="003A5528"/>
    <w:rsid w:val="003B28A2"/>
    <w:rsid w:val="003C69CF"/>
    <w:rsid w:val="003D76FA"/>
    <w:rsid w:val="003E398F"/>
    <w:rsid w:val="003E5B84"/>
    <w:rsid w:val="003E5C18"/>
    <w:rsid w:val="003E7754"/>
    <w:rsid w:val="003F3ED1"/>
    <w:rsid w:val="003F3FCF"/>
    <w:rsid w:val="00404101"/>
    <w:rsid w:val="00404649"/>
    <w:rsid w:val="0040563A"/>
    <w:rsid w:val="004110CA"/>
    <w:rsid w:val="00415F65"/>
    <w:rsid w:val="00423E63"/>
    <w:rsid w:val="004246CA"/>
    <w:rsid w:val="00476972"/>
    <w:rsid w:val="00482F6B"/>
    <w:rsid w:val="00491273"/>
    <w:rsid w:val="004921C5"/>
    <w:rsid w:val="00492693"/>
    <w:rsid w:val="0049388F"/>
    <w:rsid w:val="004A0D3B"/>
    <w:rsid w:val="004B3FD5"/>
    <w:rsid w:val="004C72BB"/>
    <w:rsid w:val="004E5E9B"/>
    <w:rsid w:val="004E70E8"/>
    <w:rsid w:val="004F4703"/>
    <w:rsid w:val="005014F1"/>
    <w:rsid w:val="00531C20"/>
    <w:rsid w:val="0053405B"/>
    <w:rsid w:val="00547695"/>
    <w:rsid w:val="00556E30"/>
    <w:rsid w:val="00556E3A"/>
    <w:rsid w:val="00575046"/>
    <w:rsid w:val="0057768D"/>
    <w:rsid w:val="0058099B"/>
    <w:rsid w:val="00584214"/>
    <w:rsid w:val="005904A4"/>
    <w:rsid w:val="00593353"/>
    <w:rsid w:val="005A1325"/>
    <w:rsid w:val="005B3242"/>
    <w:rsid w:val="005C3CB2"/>
    <w:rsid w:val="005C7CBA"/>
    <w:rsid w:val="005D7CCA"/>
    <w:rsid w:val="005E01C9"/>
    <w:rsid w:val="005E36F0"/>
    <w:rsid w:val="005E47AA"/>
    <w:rsid w:val="0060621D"/>
    <w:rsid w:val="00613E70"/>
    <w:rsid w:val="006225D8"/>
    <w:rsid w:val="006228A8"/>
    <w:rsid w:val="00637544"/>
    <w:rsid w:val="006428A0"/>
    <w:rsid w:val="00646702"/>
    <w:rsid w:val="0065273F"/>
    <w:rsid w:val="006613EB"/>
    <w:rsid w:val="00665DCE"/>
    <w:rsid w:val="00666002"/>
    <w:rsid w:val="006873EC"/>
    <w:rsid w:val="0068751B"/>
    <w:rsid w:val="00696E73"/>
    <w:rsid w:val="006A0720"/>
    <w:rsid w:val="006A21A6"/>
    <w:rsid w:val="006A4DAE"/>
    <w:rsid w:val="006A7FB1"/>
    <w:rsid w:val="006B17B5"/>
    <w:rsid w:val="006B5321"/>
    <w:rsid w:val="006C28BD"/>
    <w:rsid w:val="006C38BA"/>
    <w:rsid w:val="006D2173"/>
    <w:rsid w:val="006D4465"/>
    <w:rsid w:val="006E1E1D"/>
    <w:rsid w:val="006E78B4"/>
    <w:rsid w:val="00700AF5"/>
    <w:rsid w:val="00700C6C"/>
    <w:rsid w:val="00705BA4"/>
    <w:rsid w:val="00710155"/>
    <w:rsid w:val="00714D23"/>
    <w:rsid w:val="00715B0F"/>
    <w:rsid w:val="00717C80"/>
    <w:rsid w:val="00721ACD"/>
    <w:rsid w:val="00726569"/>
    <w:rsid w:val="007429F5"/>
    <w:rsid w:val="00752208"/>
    <w:rsid w:val="007536D6"/>
    <w:rsid w:val="0076468B"/>
    <w:rsid w:val="007702D6"/>
    <w:rsid w:val="00772973"/>
    <w:rsid w:val="0078169A"/>
    <w:rsid w:val="007816D8"/>
    <w:rsid w:val="007846F7"/>
    <w:rsid w:val="00784A9C"/>
    <w:rsid w:val="00786C70"/>
    <w:rsid w:val="0079131F"/>
    <w:rsid w:val="007924FB"/>
    <w:rsid w:val="007929B0"/>
    <w:rsid w:val="007A4349"/>
    <w:rsid w:val="007A470B"/>
    <w:rsid w:val="007A47B5"/>
    <w:rsid w:val="007B44D3"/>
    <w:rsid w:val="007C6D06"/>
    <w:rsid w:val="007E0CD4"/>
    <w:rsid w:val="007F5E90"/>
    <w:rsid w:val="00807D73"/>
    <w:rsid w:val="00812E2C"/>
    <w:rsid w:val="0081357E"/>
    <w:rsid w:val="00816EDA"/>
    <w:rsid w:val="00825ED6"/>
    <w:rsid w:val="0082643C"/>
    <w:rsid w:val="008346AA"/>
    <w:rsid w:val="008367ED"/>
    <w:rsid w:val="008471AF"/>
    <w:rsid w:val="00861EE7"/>
    <w:rsid w:val="00876207"/>
    <w:rsid w:val="00876E3B"/>
    <w:rsid w:val="00885717"/>
    <w:rsid w:val="00886A46"/>
    <w:rsid w:val="00892B7A"/>
    <w:rsid w:val="008959C1"/>
    <w:rsid w:val="008A490F"/>
    <w:rsid w:val="008B2E49"/>
    <w:rsid w:val="008B30D1"/>
    <w:rsid w:val="008B4CB7"/>
    <w:rsid w:val="008B6525"/>
    <w:rsid w:val="008C1AB6"/>
    <w:rsid w:val="008C25C2"/>
    <w:rsid w:val="008C5475"/>
    <w:rsid w:val="008D4438"/>
    <w:rsid w:val="008D642E"/>
    <w:rsid w:val="008E44EA"/>
    <w:rsid w:val="008F2338"/>
    <w:rsid w:val="008F44F8"/>
    <w:rsid w:val="00903411"/>
    <w:rsid w:val="0091384E"/>
    <w:rsid w:val="00917D21"/>
    <w:rsid w:val="00920EE2"/>
    <w:rsid w:val="00921365"/>
    <w:rsid w:val="00930D01"/>
    <w:rsid w:val="0093542D"/>
    <w:rsid w:val="00941ACD"/>
    <w:rsid w:val="009433E8"/>
    <w:rsid w:val="0094752D"/>
    <w:rsid w:val="009526D0"/>
    <w:rsid w:val="0095775D"/>
    <w:rsid w:val="0096299D"/>
    <w:rsid w:val="009643CD"/>
    <w:rsid w:val="00966A1E"/>
    <w:rsid w:val="00994B42"/>
    <w:rsid w:val="0099531B"/>
    <w:rsid w:val="00996A6D"/>
    <w:rsid w:val="00996FAD"/>
    <w:rsid w:val="009B60BB"/>
    <w:rsid w:val="009C102D"/>
    <w:rsid w:val="009C6311"/>
    <w:rsid w:val="009C7DFB"/>
    <w:rsid w:val="009D6D35"/>
    <w:rsid w:val="009E2E0B"/>
    <w:rsid w:val="009F6A46"/>
    <w:rsid w:val="00A02BB6"/>
    <w:rsid w:val="00A103FF"/>
    <w:rsid w:val="00A13BF8"/>
    <w:rsid w:val="00A1720F"/>
    <w:rsid w:val="00A17839"/>
    <w:rsid w:val="00A21D73"/>
    <w:rsid w:val="00A303C2"/>
    <w:rsid w:val="00A31F32"/>
    <w:rsid w:val="00A3548B"/>
    <w:rsid w:val="00A53232"/>
    <w:rsid w:val="00A5390A"/>
    <w:rsid w:val="00A57F38"/>
    <w:rsid w:val="00A6519B"/>
    <w:rsid w:val="00A67160"/>
    <w:rsid w:val="00A716B1"/>
    <w:rsid w:val="00A75B95"/>
    <w:rsid w:val="00A83496"/>
    <w:rsid w:val="00A84F5F"/>
    <w:rsid w:val="00A916FA"/>
    <w:rsid w:val="00A9520C"/>
    <w:rsid w:val="00A9537F"/>
    <w:rsid w:val="00AA1213"/>
    <w:rsid w:val="00AA456C"/>
    <w:rsid w:val="00AB5599"/>
    <w:rsid w:val="00AC69FC"/>
    <w:rsid w:val="00AF5989"/>
    <w:rsid w:val="00AF5A1F"/>
    <w:rsid w:val="00B02E28"/>
    <w:rsid w:val="00B0456F"/>
    <w:rsid w:val="00B052C3"/>
    <w:rsid w:val="00B058C2"/>
    <w:rsid w:val="00B10F41"/>
    <w:rsid w:val="00B2194B"/>
    <w:rsid w:val="00B33C9A"/>
    <w:rsid w:val="00B52BE2"/>
    <w:rsid w:val="00B54942"/>
    <w:rsid w:val="00B651D8"/>
    <w:rsid w:val="00B700AE"/>
    <w:rsid w:val="00B73955"/>
    <w:rsid w:val="00B77672"/>
    <w:rsid w:val="00B80AE4"/>
    <w:rsid w:val="00B9330C"/>
    <w:rsid w:val="00B95760"/>
    <w:rsid w:val="00BA6DC3"/>
    <w:rsid w:val="00BC086A"/>
    <w:rsid w:val="00BC2C2C"/>
    <w:rsid w:val="00BC657F"/>
    <w:rsid w:val="00BD0F5A"/>
    <w:rsid w:val="00BD40C1"/>
    <w:rsid w:val="00BD7900"/>
    <w:rsid w:val="00BE2443"/>
    <w:rsid w:val="00BE3B3D"/>
    <w:rsid w:val="00BF156D"/>
    <w:rsid w:val="00C07619"/>
    <w:rsid w:val="00C14CD4"/>
    <w:rsid w:val="00C158EA"/>
    <w:rsid w:val="00C17579"/>
    <w:rsid w:val="00C2518F"/>
    <w:rsid w:val="00C27F65"/>
    <w:rsid w:val="00C42A96"/>
    <w:rsid w:val="00C45A78"/>
    <w:rsid w:val="00C46CC4"/>
    <w:rsid w:val="00C50176"/>
    <w:rsid w:val="00C51CB8"/>
    <w:rsid w:val="00C52531"/>
    <w:rsid w:val="00C525C5"/>
    <w:rsid w:val="00C561BC"/>
    <w:rsid w:val="00C60E47"/>
    <w:rsid w:val="00C66AB2"/>
    <w:rsid w:val="00C672ED"/>
    <w:rsid w:val="00C7246E"/>
    <w:rsid w:val="00C81488"/>
    <w:rsid w:val="00C92674"/>
    <w:rsid w:val="00C93F1C"/>
    <w:rsid w:val="00CA0325"/>
    <w:rsid w:val="00CA2C09"/>
    <w:rsid w:val="00CA31BA"/>
    <w:rsid w:val="00CB60A9"/>
    <w:rsid w:val="00CD02C3"/>
    <w:rsid w:val="00CD6D2C"/>
    <w:rsid w:val="00CE4DBB"/>
    <w:rsid w:val="00CE6495"/>
    <w:rsid w:val="00CF4F73"/>
    <w:rsid w:val="00D1020A"/>
    <w:rsid w:val="00D11F23"/>
    <w:rsid w:val="00D1596B"/>
    <w:rsid w:val="00D162A7"/>
    <w:rsid w:val="00D20C74"/>
    <w:rsid w:val="00D23D81"/>
    <w:rsid w:val="00D26BF8"/>
    <w:rsid w:val="00D36B39"/>
    <w:rsid w:val="00D41546"/>
    <w:rsid w:val="00D5237D"/>
    <w:rsid w:val="00D61DAB"/>
    <w:rsid w:val="00D64FB4"/>
    <w:rsid w:val="00D66B48"/>
    <w:rsid w:val="00D671EB"/>
    <w:rsid w:val="00D70549"/>
    <w:rsid w:val="00D70C41"/>
    <w:rsid w:val="00D71EE7"/>
    <w:rsid w:val="00D81647"/>
    <w:rsid w:val="00D83A8F"/>
    <w:rsid w:val="00D90EB8"/>
    <w:rsid w:val="00D92381"/>
    <w:rsid w:val="00D9288F"/>
    <w:rsid w:val="00DA409F"/>
    <w:rsid w:val="00DB152F"/>
    <w:rsid w:val="00DB705F"/>
    <w:rsid w:val="00DC0A1F"/>
    <w:rsid w:val="00DC1864"/>
    <w:rsid w:val="00DC4D8A"/>
    <w:rsid w:val="00DD4F32"/>
    <w:rsid w:val="00DD792C"/>
    <w:rsid w:val="00DE44EB"/>
    <w:rsid w:val="00DE7CAE"/>
    <w:rsid w:val="00DF0001"/>
    <w:rsid w:val="00DF2F47"/>
    <w:rsid w:val="00DF356F"/>
    <w:rsid w:val="00DF4063"/>
    <w:rsid w:val="00DF4A7E"/>
    <w:rsid w:val="00DF6323"/>
    <w:rsid w:val="00E05B0E"/>
    <w:rsid w:val="00E06F82"/>
    <w:rsid w:val="00E1535B"/>
    <w:rsid w:val="00E221EA"/>
    <w:rsid w:val="00E30ED0"/>
    <w:rsid w:val="00E4387B"/>
    <w:rsid w:val="00E43CE7"/>
    <w:rsid w:val="00E66C71"/>
    <w:rsid w:val="00E67CEA"/>
    <w:rsid w:val="00E869F7"/>
    <w:rsid w:val="00EA09BD"/>
    <w:rsid w:val="00EA23EA"/>
    <w:rsid w:val="00EB0264"/>
    <w:rsid w:val="00EB3B61"/>
    <w:rsid w:val="00EE1791"/>
    <w:rsid w:val="00EE3D0C"/>
    <w:rsid w:val="00F05616"/>
    <w:rsid w:val="00F068CA"/>
    <w:rsid w:val="00F10E5B"/>
    <w:rsid w:val="00F14361"/>
    <w:rsid w:val="00F14BE0"/>
    <w:rsid w:val="00F20B04"/>
    <w:rsid w:val="00F30588"/>
    <w:rsid w:val="00F322A3"/>
    <w:rsid w:val="00F3623E"/>
    <w:rsid w:val="00F57DCE"/>
    <w:rsid w:val="00F657A0"/>
    <w:rsid w:val="00F7230B"/>
    <w:rsid w:val="00F91417"/>
    <w:rsid w:val="00FA1FE4"/>
    <w:rsid w:val="00FB3C79"/>
    <w:rsid w:val="00FC04AD"/>
    <w:rsid w:val="00FC12DE"/>
    <w:rsid w:val="00FD6A71"/>
    <w:rsid w:val="00FD78F1"/>
    <w:rsid w:val="00FE51D9"/>
    <w:rsid w:val="00FF3E43"/>
    <w:rsid w:val="0105388A"/>
    <w:rsid w:val="01E17D3A"/>
    <w:rsid w:val="028364EB"/>
    <w:rsid w:val="02DA0B7C"/>
    <w:rsid w:val="038E1464"/>
    <w:rsid w:val="03DF2C45"/>
    <w:rsid w:val="03E41B04"/>
    <w:rsid w:val="03E8721E"/>
    <w:rsid w:val="04904A7C"/>
    <w:rsid w:val="057C1883"/>
    <w:rsid w:val="07CE6529"/>
    <w:rsid w:val="08766249"/>
    <w:rsid w:val="08E06BA5"/>
    <w:rsid w:val="0944354C"/>
    <w:rsid w:val="09972BAD"/>
    <w:rsid w:val="09D43E21"/>
    <w:rsid w:val="0A530D34"/>
    <w:rsid w:val="0B6B7D57"/>
    <w:rsid w:val="0BB00D6C"/>
    <w:rsid w:val="0C405784"/>
    <w:rsid w:val="0CF03F45"/>
    <w:rsid w:val="0D9E4931"/>
    <w:rsid w:val="0DA2457E"/>
    <w:rsid w:val="0DB929E6"/>
    <w:rsid w:val="0DFC3C67"/>
    <w:rsid w:val="0E332FC8"/>
    <w:rsid w:val="0E61378A"/>
    <w:rsid w:val="0E8555E9"/>
    <w:rsid w:val="0F9C66BB"/>
    <w:rsid w:val="137D11CB"/>
    <w:rsid w:val="13B70555"/>
    <w:rsid w:val="15A24B15"/>
    <w:rsid w:val="161A57A9"/>
    <w:rsid w:val="16A77531"/>
    <w:rsid w:val="17994F1A"/>
    <w:rsid w:val="18E836E8"/>
    <w:rsid w:val="1A11677A"/>
    <w:rsid w:val="1B28718B"/>
    <w:rsid w:val="1B4E257A"/>
    <w:rsid w:val="1C081D62"/>
    <w:rsid w:val="1C973C95"/>
    <w:rsid w:val="1CBD1A1E"/>
    <w:rsid w:val="1D834CD6"/>
    <w:rsid w:val="1E4B26D6"/>
    <w:rsid w:val="1E9707B7"/>
    <w:rsid w:val="1F0F3C5F"/>
    <w:rsid w:val="1FDA31F7"/>
    <w:rsid w:val="205832F5"/>
    <w:rsid w:val="20D044CA"/>
    <w:rsid w:val="213A7165"/>
    <w:rsid w:val="21F42398"/>
    <w:rsid w:val="220A10FE"/>
    <w:rsid w:val="226F7CCA"/>
    <w:rsid w:val="229A2F4F"/>
    <w:rsid w:val="22BC23A7"/>
    <w:rsid w:val="24790564"/>
    <w:rsid w:val="24886EE9"/>
    <w:rsid w:val="26A93BE1"/>
    <w:rsid w:val="26B25CA9"/>
    <w:rsid w:val="27AC401C"/>
    <w:rsid w:val="27FF33E8"/>
    <w:rsid w:val="29BF6A50"/>
    <w:rsid w:val="2A201434"/>
    <w:rsid w:val="2A657008"/>
    <w:rsid w:val="2AD53620"/>
    <w:rsid w:val="2B821265"/>
    <w:rsid w:val="2C120137"/>
    <w:rsid w:val="2C5A07A4"/>
    <w:rsid w:val="2CD167FA"/>
    <w:rsid w:val="2CD467CA"/>
    <w:rsid w:val="2CFD53A1"/>
    <w:rsid w:val="2D2956A2"/>
    <w:rsid w:val="2E0C3488"/>
    <w:rsid w:val="2E786F69"/>
    <w:rsid w:val="2ED254BE"/>
    <w:rsid w:val="2EF76D24"/>
    <w:rsid w:val="2F411448"/>
    <w:rsid w:val="2FD407AC"/>
    <w:rsid w:val="319127BF"/>
    <w:rsid w:val="31B53C11"/>
    <w:rsid w:val="32C17471"/>
    <w:rsid w:val="32C66B55"/>
    <w:rsid w:val="338C216C"/>
    <w:rsid w:val="34B64A07"/>
    <w:rsid w:val="34EE46F5"/>
    <w:rsid w:val="34FB61C2"/>
    <w:rsid w:val="36AB7F2E"/>
    <w:rsid w:val="38A756A2"/>
    <w:rsid w:val="39711C9F"/>
    <w:rsid w:val="39CB0220"/>
    <w:rsid w:val="3A2529A7"/>
    <w:rsid w:val="3A4241A8"/>
    <w:rsid w:val="3AE01ADB"/>
    <w:rsid w:val="3B0339C9"/>
    <w:rsid w:val="3B5C36BD"/>
    <w:rsid w:val="3C9C3830"/>
    <w:rsid w:val="3DDF4544"/>
    <w:rsid w:val="3DEB2F2B"/>
    <w:rsid w:val="3E344866"/>
    <w:rsid w:val="3E980BF7"/>
    <w:rsid w:val="3F497926"/>
    <w:rsid w:val="40B00EC8"/>
    <w:rsid w:val="41664DC0"/>
    <w:rsid w:val="416869BC"/>
    <w:rsid w:val="42C51C99"/>
    <w:rsid w:val="434D7C8E"/>
    <w:rsid w:val="43883632"/>
    <w:rsid w:val="43A163F8"/>
    <w:rsid w:val="447A5989"/>
    <w:rsid w:val="44BA70B3"/>
    <w:rsid w:val="468E4774"/>
    <w:rsid w:val="471B7666"/>
    <w:rsid w:val="47C2443F"/>
    <w:rsid w:val="48035848"/>
    <w:rsid w:val="49091FB8"/>
    <w:rsid w:val="494149E8"/>
    <w:rsid w:val="4A2E66F1"/>
    <w:rsid w:val="4B835874"/>
    <w:rsid w:val="4B9C19A2"/>
    <w:rsid w:val="4C944DC2"/>
    <w:rsid w:val="4E4A13B6"/>
    <w:rsid w:val="4E575F94"/>
    <w:rsid w:val="4F9E388C"/>
    <w:rsid w:val="5077770F"/>
    <w:rsid w:val="50AE5652"/>
    <w:rsid w:val="518C2E74"/>
    <w:rsid w:val="52A95C32"/>
    <w:rsid w:val="5354426B"/>
    <w:rsid w:val="53C4059E"/>
    <w:rsid w:val="53DC0C3D"/>
    <w:rsid w:val="53E33704"/>
    <w:rsid w:val="551155AC"/>
    <w:rsid w:val="56734CEF"/>
    <w:rsid w:val="57512000"/>
    <w:rsid w:val="587D4A8B"/>
    <w:rsid w:val="58CE14C0"/>
    <w:rsid w:val="592112EA"/>
    <w:rsid w:val="5AB901A2"/>
    <w:rsid w:val="5AC218A1"/>
    <w:rsid w:val="5B3270EF"/>
    <w:rsid w:val="5B4B262F"/>
    <w:rsid w:val="5B785808"/>
    <w:rsid w:val="5B832FDC"/>
    <w:rsid w:val="5C390E2F"/>
    <w:rsid w:val="5C5E6160"/>
    <w:rsid w:val="5CE1580A"/>
    <w:rsid w:val="5D1451E2"/>
    <w:rsid w:val="5D7A6CB5"/>
    <w:rsid w:val="5DF159D5"/>
    <w:rsid w:val="5E905477"/>
    <w:rsid w:val="5EF56A6B"/>
    <w:rsid w:val="5FD23689"/>
    <w:rsid w:val="5FDB6FCA"/>
    <w:rsid w:val="605C12B6"/>
    <w:rsid w:val="60710967"/>
    <w:rsid w:val="62182302"/>
    <w:rsid w:val="63F62D19"/>
    <w:rsid w:val="6454743D"/>
    <w:rsid w:val="6562291D"/>
    <w:rsid w:val="65AB402D"/>
    <w:rsid w:val="66B606DB"/>
    <w:rsid w:val="66BB39D6"/>
    <w:rsid w:val="67DB7134"/>
    <w:rsid w:val="67EE653C"/>
    <w:rsid w:val="69413FBB"/>
    <w:rsid w:val="69E17C21"/>
    <w:rsid w:val="6A131466"/>
    <w:rsid w:val="6A2079B8"/>
    <w:rsid w:val="6AA8340E"/>
    <w:rsid w:val="6AB96AE6"/>
    <w:rsid w:val="6ABE699D"/>
    <w:rsid w:val="6ADF3D32"/>
    <w:rsid w:val="6B69107B"/>
    <w:rsid w:val="6BBE51F9"/>
    <w:rsid w:val="6C564456"/>
    <w:rsid w:val="6C6C2D7C"/>
    <w:rsid w:val="6C6D0F32"/>
    <w:rsid w:val="71454992"/>
    <w:rsid w:val="71AF1BCD"/>
    <w:rsid w:val="72822782"/>
    <w:rsid w:val="752A564F"/>
    <w:rsid w:val="76075932"/>
    <w:rsid w:val="777442D4"/>
    <w:rsid w:val="781444BE"/>
    <w:rsid w:val="78371CCB"/>
    <w:rsid w:val="799B35E0"/>
    <w:rsid w:val="79F446DB"/>
    <w:rsid w:val="7A0806F2"/>
    <w:rsid w:val="7A235614"/>
    <w:rsid w:val="7ADB5207"/>
    <w:rsid w:val="7BBA6D89"/>
    <w:rsid w:val="7C1B7FEA"/>
    <w:rsid w:val="7C4B32C2"/>
    <w:rsid w:val="7CEF6AD2"/>
    <w:rsid w:val="7D0B56BD"/>
    <w:rsid w:val="7E1B7C37"/>
    <w:rsid w:val="7E7A0FE9"/>
    <w:rsid w:val="7F5F3F5E"/>
    <w:rsid w:val="7F8432A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semiHidden="0" w:name="footnote text"/>
    <w:lsdException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0" w:semiHidden="0"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80" w:lineRule="exact"/>
      <w:ind w:firstLine="200" w:firstLineChars="200"/>
      <w:jc w:val="both"/>
    </w:pPr>
    <w:rPr>
      <w:rFonts w:ascii="Times New Roman" w:hAnsi="Times New Roman" w:eastAsia="仿宋_GB2312" w:cstheme="minorBidi"/>
      <w:kern w:val="2"/>
      <w:sz w:val="32"/>
      <w:szCs w:val="22"/>
      <w:lang w:val="en-US" w:eastAsia="zh-CN" w:bidi="ar-SA"/>
    </w:rPr>
  </w:style>
  <w:style w:type="paragraph" w:styleId="3">
    <w:name w:val="heading 1"/>
    <w:basedOn w:val="1"/>
    <w:next w:val="1"/>
    <w:link w:val="23"/>
    <w:qFormat/>
    <w:uiPriority w:val="9"/>
    <w:pPr>
      <w:keepNext/>
      <w:keepLines/>
      <w:spacing w:before="220" w:after="210"/>
      <w:outlineLvl w:val="0"/>
    </w:pPr>
    <w:rPr>
      <w:rFonts w:eastAsia="黑体"/>
      <w:bCs/>
      <w:kern w:val="44"/>
      <w:szCs w:val="44"/>
    </w:rPr>
  </w:style>
  <w:style w:type="paragraph" w:styleId="4">
    <w:name w:val="heading 2"/>
    <w:basedOn w:val="1"/>
    <w:next w:val="1"/>
    <w:link w:val="24"/>
    <w:unhideWhenUsed/>
    <w:qFormat/>
    <w:uiPriority w:val="9"/>
    <w:pPr>
      <w:keepNext/>
      <w:keepLines/>
      <w:spacing w:before="100" w:after="100"/>
      <w:outlineLvl w:val="1"/>
    </w:pPr>
    <w:rPr>
      <w:rFonts w:eastAsia="楷体_GB2312" w:asciiTheme="majorHAnsi" w:hAnsiTheme="majorHAnsi" w:cstheme="majorBidi"/>
      <w:b/>
      <w:bCs/>
      <w:szCs w:val="32"/>
    </w:rPr>
  </w:style>
  <w:style w:type="paragraph" w:styleId="5">
    <w:name w:val="heading 3"/>
    <w:basedOn w:val="1"/>
    <w:next w:val="1"/>
    <w:link w:val="26"/>
    <w:unhideWhenUsed/>
    <w:qFormat/>
    <w:uiPriority w:val="9"/>
    <w:pPr>
      <w:keepNext/>
      <w:keepLines/>
      <w:spacing w:before="20" w:after="20"/>
      <w:outlineLvl w:val="2"/>
    </w:pPr>
    <w:rPr>
      <w:b/>
      <w:bCs/>
      <w:szCs w:val="32"/>
    </w:rPr>
  </w:style>
  <w:style w:type="character" w:default="1" w:styleId="17">
    <w:name w:val="Default Paragraph Font"/>
    <w:semiHidden/>
    <w:unhideWhenUsed/>
    <w:qFormat/>
    <w:uiPriority w:val="1"/>
  </w:style>
  <w:style w:type="table" w:default="1" w:styleId="1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Calibri" w:hAnsi="Calibri" w:eastAsia="宋体" w:cs="Times New Roman"/>
      <w:kern w:val="2"/>
      <w:sz w:val="21"/>
      <w:szCs w:val="22"/>
    </w:rPr>
    <w:tblPr>
      <w:tblCellMar>
        <w:top w:w="0" w:type="dxa"/>
        <w:left w:w="108" w:type="dxa"/>
        <w:bottom w:w="0" w:type="dxa"/>
        <w:right w:w="108" w:type="dxa"/>
      </w:tblCellMar>
    </w:tblPr>
  </w:style>
  <w:style w:type="paragraph" w:customStyle="1" w:styleId="2">
    <w:name w:val="正文-文本"/>
    <w:qFormat/>
    <w:uiPriority w:val="0"/>
    <w:pPr>
      <w:spacing w:line="580" w:lineRule="exact"/>
      <w:ind w:firstLine="200" w:firstLineChars="200"/>
      <w:jc w:val="both"/>
    </w:pPr>
    <w:rPr>
      <w:rFonts w:ascii="Times New Roman" w:hAnsi="Times New Roman" w:eastAsia="仿宋_GB2312" w:cs="Times New Roman"/>
      <w:bCs/>
      <w:kern w:val="2"/>
      <w:sz w:val="32"/>
      <w:szCs w:val="32"/>
      <w:lang w:val="en-US" w:eastAsia="zh-CN" w:bidi="ar-SA"/>
    </w:rPr>
  </w:style>
  <w:style w:type="paragraph" w:styleId="6">
    <w:name w:val="Document Map"/>
    <w:basedOn w:val="1"/>
    <w:link w:val="29"/>
    <w:semiHidden/>
    <w:unhideWhenUsed/>
    <w:qFormat/>
    <w:uiPriority w:val="99"/>
    <w:rPr>
      <w:rFonts w:ascii="宋体" w:eastAsia="宋体"/>
      <w:sz w:val="18"/>
      <w:szCs w:val="18"/>
    </w:rPr>
  </w:style>
  <w:style w:type="paragraph" w:styleId="7">
    <w:name w:val="toc 3"/>
    <w:basedOn w:val="1"/>
    <w:next w:val="1"/>
    <w:unhideWhenUsed/>
    <w:qFormat/>
    <w:uiPriority w:val="39"/>
    <w:pPr>
      <w:ind w:left="840" w:leftChars="400"/>
    </w:pPr>
  </w:style>
  <w:style w:type="paragraph" w:styleId="8">
    <w:name w:val="Balloon Text"/>
    <w:basedOn w:val="1"/>
    <w:link w:val="32"/>
    <w:semiHidden/>
    <w:unhideWhenUsed/>
    <w:qFormat/>
    <w:uiPriority w:val="99"/>
    <w:pPr>
      <w:spacing w:line="240" w:lineRule="auto"/>
    </w:pPr>
    <w:rPr>
      <w:sz w:val="18"/>
      <w:szCs w:val="18"/>
    </w:rPr>
  </w:style>
  <w:style w:type="paragraph" w:styleId="9">
    <w:name w:val="footer"/>
    <w:basedOn w:val="1"/>
    <w:link w:val="22"/>
    <w:unhideWhenUsed/>
    <w:qFormat/>
    <w:uiPriority w:val="99"/>
    <w:pPr>
      <w:tabs>
        <w:tab w:val="center" w:pos="4153"/>
        <w:tab w:val="right" w:pos="8306"/>
      </w:tabs>
      <w:snapToGrid w:val="0"/>
      <w:jc w:val="left"/>
    </w:pPr>
    <w:rPr>
      <w:sz w:val="18"/>
      <w:szCs w:val="18"/>
    </w:rPr>
  </w:style>
  <w:style w:type="paragraph" w:styleId="10">
    <w:name w:val="header"/>
    <w:basedOn w:val="1"/>
    <w:link w:val="2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footnote text"/>
    <w:basedOn w:val="1"/>
    <w:link w:val="27"/>
    <w:unhideWhenUsed/>
    <w:qFormat/>
    <w:uiPriority w:val="99"/>
    <w:pPr>
      <w:snapToGrid w:val="0"/>
      <w:spacing w:line="240" w:lineRule="auto"/>
      <w:ind w:firstLine="0" w:firstLineChars="0"/>
      <w:jc w:val="left"/>
    </w:pPr>
    <w:rPr>
      <w:rFonts w:cs="Times New Roman"/>
      <w:sz w:val="18"/>
      <w:szCs w:val="18"/>
    </w:rPr>
  </w:style>
  <w:style w:type="paragraph" w:styleId="13">
    <w:name w:val="toc 2"/>
    <w:basedOn w:val="1"/>
    <w:next w:val="1"/>
    <w:unhideWhenUsed/>
    <w:qFormat/>
    <w:uiPriority w:val="39"/>
    <w:pPr>
      <w:ind w:left="420" w:leftChars="200"/>
    </w:pPr>
  </w:style>
  <w:style w:type="paragraph" w:styleId="14">
    <w:name w:val="Title"/>
    <w:basedOn w:val="1"/>
    <w:next w:val="1"/>
    <w:link w:val="25"/>
    <w:qFormat/>
    <w:uiPriority w:val="10"/>
    <w:pPr>
      <w:spacing w:before="240" w:after="240"/>
      <w:jc w:val="center"/>
      <w:outlineLvl w:val="0"/>
    </w:pPr>
    <w:rPr>
      <w:rFonts w:asciiTheme="majorHAnsi" w:hAnsiTheme="majorHAnsi" w:cstheme="majorBidi"/>
      <w:b/>
      <w:bCs/>
      <w:szCs w:val="32"/>
    </w:rPr>
  </w:style>
  <w:style w:type="table" w:styleId="16">
    <w:name w:val="Table Grid"/>
    <w:basedOn w:val="15"/>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8">
    <w:name w:val="Strong"/>
    <w:basedOn w:val="17"/>
    <w:qFormat/>
    <w:uiPriority w:val="22"/>
    <w:rPr>
      <w:b/>
      <w:bCs/>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character" w:styleId="20">
    <w:name w:val="footnote reference"/>
    <w:unhideWhenUsed/>
    <w:qFormat/>
    <w:uiPriority w:val="0"/>
    <w:rPr>
      <w:vertAlign w:val="superscript"/>
    </w:rPr>
  </w:style>
  <w:style w:type="character" w:customStyle="1" w:styleId="21">
    <w:name w:val="页眉 Char"/>
    <w:basedOn w:val="17"/>
    <w:link w:val="10"/>
    <w:semiHidden/>
    <w:qFormat/>
    <w:uiPriority w:val="99"/>
    <w:rPr>
      <w:sz w:val="18"/>
      <w:szCs w:val="18"/>
    </w:rPr>
  </w:style>
  <w:style w:type="character" w:customStyle="1" w:styleId="22">
    <w:name w:val="页脚 Char"/>
    <w:basedOn w:val="17"/>
    <w:link w:val="9"/>
    <w:qFormat/>
    <w:uiPriority w:val="99"/>
    <w:rPr>
      <w:sz w:val="18"/>
      <w:szCs w:val="18"/>
    </w:rPr>
  </w:style>
  <w:style w:type="character" w:customStyle="1" w:styleId="23">
    <w:name w:val="标题 1 Char"/>
    <w:basedOn w:val="17"/>
    <w:link w:val="3"/>
    <w:qFormat/>
    <w:uiPriority w:val="9"/>
    <w:rPr>
      <w:rFonts w:eastAsia="黑体"/>
      <w:bCs/>
      <w:kern w:val="44"/>
      <w:sz w:val="32"/>
      <w:szCs w:val="44"/>
    </w:rPr>
  </w:style>
  <w:style w:type="character" w:customStyle="1" w:styleId="24">
    <w:name w:val="标题 2 Char"/>
    <w:basedOn w:val="17"/>
    <w:link w:val="4"/>
    <w:qFormat/>
    <w:uiPriority w:val="9"/>
    <w:rPr>
      <w:rFonts w:eastAsia="楷体_GB2312" w:asciiTheme="majorHAnsi" w:hAnsiTheme="majorHAnsi" w:cstheme="majorBidi"/>
      <w:b/>
      <w:bCs/>
      <w:sz w:val="32"/>
      <w:szCs w:val="32"/>
    </w:rPr>
  </w:style>
  <w:style w:type="character" w:customStyle="1" w:styleId="25">
    <w:name w:val="标题 Char"/>
    <w:basedOn w:val="17"/>
    <w:link w:val="14"/>
    <w:qFormat/>
    <w:uiPriority w:val="10"/>
    <w:rPr>
      <w:rFonts w:eastAsia="仿宋_GB2312" w:asciiTheme="majorHAnsi" w:hAnsiTheme="majorHAnsi" w:cstheme="majorBidi"/>
      <w:b/>
      <w:bCs/>
      <w:sz w:val="32"/>
      <w:szCs w:val="32"/>
    </w:rPr>
  </w:style>
  <w:style w:type="character" w:customStyle="1" w:styleId="26">
    <w:name w:val="标题 3 Char"/>
    <w:basedOn w:val="17"/>
    <w:link w:val="5"/>
    <w:qFormat/>
    <w:uiPriority w:val="9"/>
    <w:rPr>
      <w:rFonts w:ascii="Times New Roman" w:hAnsi="Times New Roman" w:eastAsia="仿宋_GB2312"/>
      <w:b/>
      <w:bCs/>
      <w:sz w:val="32"/>
      <w:szCs w:val="32"/>
    </w:rPr>
  </w:style>
  <w:style w:type="character" w:customStyle="1" w:styleId="27">
    <w:name w:val="脚注文本 Char"/>
    <w:basedOn w:val="17"/>
    <w:link w:val="12"/>
    <w:qFormat/>
    <w:uiPriority w:val="99"/>
    <w:rPr>
      <w:rFonts w:ascii="Times New Roman" w:hAnsi="Times New Roman" w:eastAsia="仿宋_GB2312" w:cs="Times New Roman"/>
      <w:sz w:val="18"/>
      <w:szCs w:val="18"/>
    </w:rPr>
  </w:style>
  <w:style w:type="paragraph" w:styleId="28">
    <w:name w:val="List Paragraph"/>
    <w:basedOn w:val="1"/>
    <w:qFormat/>
    <w:uiPriority w:val="34"/>
    <w:pPr>
      <w:ind w:firstLine="420"/>
    </w:pPr>
  </w:style>
  <w:style w:type="character" w:customStyle="1" w:styleId="29">
    <w:name w:val="文档结构图 Char"/>
    <w:basedOn w:val="17"/>
    <w:link w:val="6"/>
    <w:semiHidden/>
    <w:qFormat/>
    <w:uiPriority w:val="99"/>
    <w:rPr>
      <w:rFonts w:ascii="宋体" w:eastAsia="宋体"/>
      <w:sz w:val="18"/>
      <w:szCs w:val="18"/>
    </w:rPr>
  </w:style>
  <w:style w:type="paragraph" w:customStyle="1" w:styleId="3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1">
    <w:name w:val="TOC 标题1"/>
    <w:basedOn w:val="3"/>
    <w:next w:val="1"/>
    <w:unhideWhenUsed/>
    <w:qFormat/>
    <w:uiPriority w:val="39"/>
    <w:pPr>
      <w:widowControl/>
      <w:spacing w:before="480" w:after="0" w:line="276" w:lineRule="auto"/>
      <w:ind w:firstLine="0" w:firstLineChars="0"/>
      <w:jc w:val="left"/>
      <w:outlineLvl w:val="9"/>
    </w:pPr>
    <w:rPr>
      <w:rFonts w:asciiTheme="majorHAnsi" w:hAnsiTheme="majorHAnsi" w:eastAsiaTheme="majorEastAsia" w:cstheme="majorBidi"/>
      <w:b/>
      <w:color w:val="376092" w:themeColor="accent1" w:themeShade="BF"/>
      <w:kern w:val="0"/>
      <w:sz w:val="28"/>
      <w:szCs w:val="28"/>
    </w:rPr>
  </w:style>
  <w:style w:type="character" w:customStyle="1" w:styleId="32">
    <w:name w:val="批注框文本 Char"/>
    <w:basedOn w:val="17"/>
    <w:link w:val="8"/>
    <w:semiHidden/>
    <w:qFormat/>
    <w:uiPriority w:val="99"/>
    <w:rPr>
      <w:rFonts w:eastAsia="仿宋_GB2312"/>
      <w:sz w:val="18"/>
      <w:szCs w:val="18"/>
    </w:rPr>
  </w:style>
  <w:style w:type="paragraph" w:customStyle="1" w:styleId="33">
    <w:name w:val="p0"/>
    <w:basedOn w:val="1"/>
    <w:qFormat/>
    <w:uiPriority w:val="0"/>
    <w:pPr>
      <w:widowControl/>
      <w:spacing w:line="560" w:lineRule="exact"/>
    </w:pPr>
    <w:rPr>
      <w:rFonts w:ascii="仿宋" w:hAnsi="仿宋" w:eastAsia="仿宋" w:cs="Times New Roman"/>
      <w:kern w:val="0"/>
      <w:szCs w:val="21"/>
    </w:rPr>
  </w:style>
  <w:style w:type="paragraph" w:customStyle="1" w:styleId="34">
    <w:name w:val="WPSOffice手动目录 1"/>
    <w:qFormat/>
    <w:uiPriority w:val="0"/>
    <w:rPr>
      <w:rFonts w:ascii="Times New Roman" w:hAnsi="Times New Roman" w:eastAsia="宋体" w:cs="Times New Roman"/>
      <w:lang w:val="en-US" w:eastAsia="zh-CN" w:bidi="ar-SA"/>
    </w:rPr>
  </w:style>
  <w:style w:type="paragraph" w:customStyle="1" w:styleId="3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6">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7">
    <w:name w:val="NormalCharacter"/>
    <w:semiHidden/>
    <w:qFormat/>
    <w:uiPriority w:val="0"/>
  </w:style>
  <w:style w:type="character" w:customStyle="1" w:styleId="38">
    <w:name w:val="fontstyle01"/>
    <w:basedOn w:val="17"/>
    <w:qFormat/>
    <w:uiPriority w:val="0"/>
    <w:rPr>
      <w:rFonts w:hint="eastAsia" w:ascii="仿宋" w:hAnsi="仿宋" w:eastAsia="仿宋"/>
      <w:color w:val="000000"/>
      <w:sz w:val="32"/>
      <w:szCs w:val="32"/>
    </w:rPr>
  </w:style>
  <w:style w:type="character" w:customStyle="1" w:styleId="39">
    <w:name w:val="fontstyle21"/>
    <w:basedOn w:val="17"/>
    <w:qFormat/>
    <w:uiPriority w:val="0"/>
    <w:rPr>
      <w:rFonts w:hint="default" w:ascii="Times New Roman" w:hAnsi="Times New Roman" w:cs="Times New Roman"/>
      <w:color w:val="000000"/>
      <w:sz w:val="32"/>
      <w:szCs w:val="32"/>
    </w:rPr>
  </w:style>
  <w:style w:type="character" w:customStyle="1" w:styleId="40">
    <w:name w:val="fontstyle11"/>
    <w:basedOn w:val="17"/>
    <w:qFormat/>
    <w:uiPriority w:val="0"/>
    <w:rPr>
      <w:rFonts w:hint="default" w:ascii="Times New Roman" w:hAnsi="Times New Roman" w:cs="Times New Roman"/>
      <w:color w:val="000000"/>
      <w:sz w:val="32"/>
      <w:szCs w:val="32"/>
    </w:rPr>
  </w:style>
  <w:style w:type="character" w:customStyle="1" w:styleId="41">
    <w:name w:val="font41"/>
    <w:basedOn w:val="17"/>
    <w:qFormat/>
    <w:uiPriority w:val="0"/>
    <w:rPr>
      <w:rFonts w:hint="eastAsia" w:ascii="宋体" w:hAnsi="宋体" w:eastAsia="宋体" w:cs="宋体"/>
      <w:color w:val="000000"/>
      <w:sz w:val="24"/>
      <w:szCs w:val="24"/>
      <w:u w:val="none"/>
    </w:rPr>
  </w:style>
  <w:style w:type="character" w:customStyle="1" w:styleId="42">
    <w:name w:val="font11"/>
    <w:basedOn w:val="17"/>
    <w:qFormat/>
    <w:uiPriority w:val="0"/>
    <w:rPr>
      <w:rFonts w:hint="eastAsia" w:ascii="宋体" w:hAnsi="宋体" w:eastAsia="宋体" w:cs="宋体"/>
      <w:color w:val="000000"/>
      <w:sz w:val="24"/>
      <w:szCs w:val="24"/>
      <w:u w:val="none"/>
    </w:rPr>
  </w:style>
  <w:style w:type="paragraph" w:customStyle="1" w:styleId="43">
    <w:name w:val="表"/>
    <w:basedOn w:val="1"/>
    <w:qFormat/>
    <w:uiPriority w:val="0"/>
    <w:pPr>
      <w:adjustRightInd w:val="0"/>
      <w:snapToGrid w:val="0"/>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6CFC73-5A6B-4750-9053-7840567A7E9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43</Pages>
  <Words>13762</Words>
  <Characters>14607</Characters>
  <Lines>126</Lines>
  <Paragraphs>35</Paragraphs>
  <TotalTime>39</TotalTime>
  <ScaleCrop>false</ScaleCrop>
  <LinksUpToDate>false</LinksUpToDate>
  <CharactersWithSpaces>14677</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2021-07-02T09:17:00Z</dcterms:created>
  <dc:creator>AutoBVT</dc:creator>
  <cp:lastModifiedBy>龚秀娟</cp:lastModifiedBy>
  <cp:lastPrinted>2021-10-19T06:24:00Z</cp:lastPrinted>
  <dcterms:modified xsi:type="dcterms:W3CDTF">2022-11-14T06:29:47Z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63254006102647BEAB9DF5C033430D90</vt:lpwstr>
  </property>
</Properties>
</file>